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4607.xml.htm"/>
      <w:bookmarkStart w:id="1" w:name="kswkform4_17842346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Bennett Kelvin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4205 RIVER GREEN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AGCO CORP /DE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Engineering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996"/>
        <w:gridCol w:w="426"/>
        <w:gridCol w:w="832"/>
        <w:gridCol w:w="1381"/>
        <w:gridCol w:w="962"/>
        <w:gridCol w:w="9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202.669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107.73</w:t>
            </w:r>
            <w:r>
              <w:rPr/>
              <w:t xml:space="preserve"> </w:t>
            </w:r>
          </w:p>
        </w:tc>
        <w:tc>
          <w:tcPr>
            <w:tcW w:w="13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17,047.129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434.129 shares of Common Stock acquired by the reporting person as a result of participating in the AGCO Corporation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Kinsha O. Swain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limitedpowerofattorney-k.htm"/>
      <w:bookmarkStart w:id="3" w:name="kslimitedpowerofattorneyk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5885" TargetMode="External"/><Relationship Id="rId5" Type="http://schemas.openxmlformats.org/officeDocument/2006/relationships/hyperlink" Target="http://www.sec.gov/cgi-bin/browse-edgar?action=getcompany&amp;CIK=00008802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586</Words>
  <Characters>3194</Characters>
  <CharactersWithSpaces>3724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limitedpowerofattorney-k</dc:title>
</cp:coreProperties>
</file>