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July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AGCO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38"/>
        <w:gridCol w:w="735"/>
        <w:gridCol w:w="735"/>
        <w:gridCol w:w="735"/>
        <w:gridCol w:w="735"/>
        <w:gridCol w:w="768"/>
        <w:gridCol w:w="109"/>
        <w:gridCol w:w="109"/>
        <w:gridCol w:w="109"/>
        <w:gridCol w:w="721"/>
        <w:gridCol w:w="721"/>
        <w:gridCol w:w="728"/>
        <w:gridCol w:w="109"/>
        <w:gridCol w:w="109"/>
        <w:gridCol w:w="109"/>
        <w:gridCol w:w="826"/>
        <w:gridCol w:w="826"/>
        <w:gridCol w:w="1183"/>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4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58-1960019</w:t>
            </w:r>
          </w:p>
        </w:tc>
      </w:tr>
      <w:tr>
        <w:trPr/>
        <w:tc>
          <w:tcPr>
            <w:tcW w:w="4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4205 River Green Parkway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Duluth, Georgia 30096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770 813-9200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6520" w:type="dxa"/>
        <w:jc w:val="center"/>
        <w:tblInd w:w="0" w:type="dxa"/>
        <w:tblLayout w:type="fixed"/>
        <w:tblCellMar>
          <w:top w:w="28" w:type="dxa"/>
          <w:left w:w="28" w:type="dxa"/>
          <w:bottom w:w="28" w:type="dxa"/>
          <w:right w:w="28" w:type="dxa"/>
        </w:tblCellMar>
      </w:tblPr>
      <w:tblGrid>
        <w:gridCol w:w="580"/>
        <w:gridCol w:w="510"/>
        <w:gridCol w:w="510"/>
        <w:gridCol w:w="510"/>
        <w:gridCol w:w="510"/>
        <w:gridCol w:w="510"/>
        <w:gridCol w:w="993"/>
        <w:gridCol w:w="993"/>
        <w:gridCol w:w="140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6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Class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AGCO</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231F20"/>
        </w:rPr>
        <w:t xml:space="preserve"> </w:t>
      </w:r>
      <w:r>
        <w:rPr>
          <w:color w:val="000000"/>
        </w:rPr>
        <w:t>☐</w:t>
      </w:r>
      <w:r>
        <w:rPr>
          <w:color w:val="231F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July 30, 2026, AGCO Corporation (“AGCO” or the “Company”) issued a press release reporting its financial results for the second quarter ended June 30, 2026. A copy of the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press release, AGCO uses non-GAAP financial measures. For purposes of SEC Regulation G, a “non-GAAP financial measure” is a numerical measure of a registrant’s historical or future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of the issuer; or includes amounts, or is subject to adjustments that have the effect of including amounts, that are excluded from the most directly comparable measure so calculated and presented. Non-GAAP financial measures should not be considered as alternatives to operating income, operating margin, net income attributable to AGCO, net income per share attributable to AGCO, cash flows from operating activities and net sales as computed under GAAP for the applicable period. AGCO has included, as part of the press release, a reconciliation of the non-GAAP financial measures to the most directly comparable GAAP financial measure. AGCO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AGCO provides income from operations, operating margin, net income and net income per share amounts that have been adjusted to exclude restructuring and business optimization expenses, amortization expense related to intangible assets acquired as part of the Company's acquisition of PTx Trimble and impairment charges. Restructuring expenses occur regularly in AGCO’s business, but vary in size and frequency. Business optimization expenses primarily relate to professional services costs incurred as part of the restructuring program aimed at reducing structural costs, enhancing global efficiencies by changing the Company’s operating model for certain corporate and back-office functions. Amortization expense related to the PTx Trimble acquired intangibles is impacted by the valuation and size of the acquisition. Impairment charges vary in size and frequency. AGCO believes these adjustments provide management and investors with greater visibility to the underlying performance of AGCO’s recurring core business operations. During the three and six months ended June 30, 2026, AGCO recorded transaction costs related to the Company’s divestiture of the majority of its Grain &amp; Protein (“G&amp;P”) business and the impacts related to a divestiture-related foreign currency translation release. Additionally, AGCO recorded discrete tax items related to a refund received following a favorable resolution of a prior settlement under the Brazilian government’s “Litigation Zero” tax amnesty program during the six months ended June 30, 2026. AGCO has provided income from operations, operating margin, net income and net income per share amounts that have been adjusted to exclude these restructuring and business optimization expenses, amortization of PTx Trimble acquired intangible assets, impairment charges, transaction-related costs, a divestiture-related foreign currency translation release and discrete tax items. Adjusted operating margin is defined as the ratio of adjusted income from operations divided by net sales. During the three and six months ended June 30, 2025, AGCO recorded transaction costs related to the Company's formation of the PTx Trimble joint venture and the divestiture of the majority of the Company's G&amp;P business. The Company recorded a loss on sale of business during the three and six months ended June 30, 2025 related to the finalization of the preliminary working capital and other adjustments related to the divestiture of the majority of the Company's G&amp;P business. Additionally, AGCO recorded discrete tax items related to a net tax benefit related to a legal entity reorganization during the three and six months ended June 30, 2025. AGCO has provided income from operations, operating margin, net income and net income per share amounts that have been adjusted to exclude these restructuring and business optimization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amortization of PTx Trimble acquired intangibles, impairment charges, transaction-related costs, loss on sale of business and discrete tax items. AGCO believes that the adjusted amounts during the three and six months ended June 30, 2026 and 2025 provide management and investors useful information as these items that are excluded relate to events that resulted in a significant impact during these quarters and may not be expected to recur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AGCO further provides net sales amounts that have been adjusted to exclude the impact of currency translation. AGCO believes that the adjusted amounts provide management and investors useful information to better analyze the causes of changes between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AGCO’s management historically has focused on the generation of cash flow in order to reduce indebtedness and for other corporate purposes. Management uses free cash flow and free cash flow conversion to assess its performance in this area. Free cash flow is defined as net cash provided by (used in) operating activities less purchases of property, plant and equipment. Free cash flow conversion is defined as net cash provided by operating activities less purchases of property, plant and equipment divided by adjusted net income as defined previously. AGCO believes that free cash flow and free cash flow conversion provide a meaningful measure to investors because, unlike cash flow from operations, it includes the impact of capital expenditures, and therefore, provides a more complete picture of cash generation.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Form 8-K and the Exhibit shall not be deemed “filed” for purposes of Section 18 of the Securities Exchange Act of 1934, as amended, nor shall it be deemed incorporated by reference in any filing of AGCO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center"/>
        <w:tblInd w:w="0" w:type="dxa"/>
        <w:tblLayout w:type="fixed"/>
        <w:tblCellMar>
          <w:top w:w="28" w:type="dxa"/>
          <w:left w:w="28" w:type="dxa"/>
          <w:bottom w:w="28" w:type="dxa"/>
          <w:right w:w="28" w:type="dxa"/>
        </w:tblCellMar>
      </w:tblPr>
      <w:tblGrid>
        <w:gridCol w:w="400"/>
        <w:gridCol w:w="351"/>
        <w:gridCol w:w="354"/>
        <w:gridCol w:w="109"/>
        <w:gridCol w:w="109"/>
        <w:gridCol w:w="109"/>
        <w:gridCol w:w="2560"/>
        <w:gridCol w:w="2560"/>
        <w:gridCol w:w="3653"/>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earningsreleaseq2.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earningsreleaseq2.htm">
              <w:r>
                <w:rPr>
                  <w:rStyle w:val="InternetLink"/>
                  <w:rFonts w:ascii="Times New Roman;serif" w:hAnsi="Times New Roman;serif"/>
                  <w:b w:val="false"/>
                  <w:color w:val="000080"/>
                  <w:sz w:val="22"/>
                  <w:u w:val="single"/>
                </w:rPr>
                <w:t xml:space="preserve">Press Release of AGCO Corporation, issued </w:t>
              </w:r>
            </w:hyperlink>
            <w:hyperlink w:anchor="a2026earningsreleaseq2.htm">
              <w:r>
                <w:rPr>
                  <w:rStyle w:val="InternetLink"/>
                  <w:rFonts w:ascii="Times New Roman;serif" w:hAnsi="Times New Roman;serif"/>
                  <w:b w:val="false"/>
                  <w:color w:val="000080"/>
                  <w:sz w:val="22"/>
                  <w:u w:val="single"/>
                </w:rPr>
                <w:t>July 30</w:t>
              </w:r>
            </w:hyperlink>
            <w:hyperlink w:anchor="a2026earningsreleaseq2.htm">
              <w:r>
                <w:rPr>
                  <w:rStyle w:val="InternetLink"/>
                  <w:rFonts w:ascii="Times New Roman;serif" w:hAnsi="Times New Roman;serif"/>
                  <w:b w:val="false"/>
                  <w:color w:val="000080"/>
                  <w:sz w:val="22"/>
                  <w:u w:val="single"/>
                </w:rPr>
                <w:t>, 2026</w:t>
              </w:r>
            </w:hyperlink>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from this current report on Form 8-K is formatted in Inline XBRL.</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3518" w:type="dxa"/>
        <w:jc w:val="right"/>
        <w:tblInd w:w="0" w:type="dxa"/>
        <w:tblLayout w:type="fixed"/>
        <w:tblCellMar>
          <w:top w:w="28" w:type="dxa"/>
          <w:left w:w="28" w:type="dxa"/>
          <w:bottom w:w="28" w:type="dxa"/>
          <w:right w:w="28" w:type="dxa"/>
        </w:tblCellMar>
      </w:tblPr>
      <w:tblGrid>
        <w:gridCol w:w="346"/>
        <w:gridCol w:w="304"/>
        <w:gridCol w:w="304"/>
        <w:gridCol w:w="750"/>
        <w:gridCol w:w="750"/>
        <w:gridCol w:w="1064"/>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AGCO Corporation</w:t>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Damon Audia</w:t>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Damon Audia</w:t>
              <w:br/>
              <w:t>Senior Vice President and</w:t>
              <w:br/>
              <w:t>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 July 30,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74"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276350" cy="4667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27635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74" w:before="0" w:after="0"/>
        <w:ind w:left="0" w:right="0" w:firstLine="270"/>
        <w:jc w:val="left"/>
        <w:rPr>
          <w:rFonts w:ascii="Arial;sans-serif" w:hAnsi="Arial;sans-serif"/>
          <w:b/>
          <w:color w:val="000000"/>
          <w:sz w:val="24"/>
          <w:u w:val="single"/>
        </w:rPr>
      </w:pPr>
      <w:r>
        <w:rPr>
          <w:rFonts w:ascii="Arial;sans-serif" w:hAnsi="Arial;sans-serif"/>
          <w:b/>
          <w:color w:val="000000"/>
          <w:sz w:val="24"/>
          <w:u w:val="single"/>
        </w:rPr>
        <w:t>NEWS RELEASE</w:t>
      </w:r>
    </w:p>
    <w:tbl>
      <w:tblPr>
        <w:tblW w:w="6702" w:type="dxa"/>
        <w:jc w:val="center"/>
        <w:tblInd w:w="0" w:type="dxa"/>
        <w:tblLayout w:type="fixed"/>
        <w:tblCellMar>
          <w:top w:w="28" w:type="dxa"/>
          <w:left w:w="28" w:type="dxa"/>
          <w:bottom w:w="28" w:type="dxa"/>
          <w:right w:w="28" w:type="dxa"/>
        </w:tblCellMar>
      </w:tblPr>
      <w:tblGrid>
        <w:gridCol w:w="1065"/>
        <w:gridCol w:w="936"/>
        <w:gridCol w:w="940"/>
        <w:gridCol w:w="109"/>
        <w:gridCol w:w="109"/>
        <w:gridCol w:w="109"/>
        <w:gridCol w:w="1004"/>
        <w:gridCol w:w="1004"/>
        <w:gridCol w:w="1426"/>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374" w:before="0" w:after="283"/>
              <w:jc w:val="left"/>
              <w:rPr>
                <w:rFonts w:ascii="Times New Roman;serif" w:hAnsi="Times New Roman;serif"/>
                <w:b/>
                <w:color w:val="000000"/>
                <w:sz w:val="22"/>
                <w:u w:val="single"/>
              </w:rPr>
            </w:pPr>
            <w:r>
              <w:rPr>
                <w:rFonts w:ascii="Times New Roman;serif" w:hAnsi="Times New Roman;serif"/>
                <w:b/>
                <w:color w:val="000000"/>
                <w:sz w:val="22"/>
                <w:u w:val="single"/>
              </w:rPr>
              <w:t>For Immediate Release</w:t>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374" w:before="0" w:after="283"/>
              <w:jc w:val="left"/>
              <w:rPr>
                <w:rFonts w:ascii="Times New Roman;serif" w:hAnsi="Times New Roman;serif"/>
                <w:b w:val="false"/>
                <w:i/>
                <w:color w:val="000000"/>
                <w:sz w:val="22"/>
              </w:rPr>
            </w:pPr>
            <w:r>
              <w:rPr>
                <w:rFonts w:ascii="Times New Roman;serif" w:hAnsi="Times New Roman;serif"/>
                <w:b w:val="false"/>
                <w:i/>
                <w:color w:val="000000"/>
                <w:sz w:val="22"/>
              </w:rPr>
              <w:t>Thursday, July 30, 2026</w:t>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MEDIA CONTACT:</w:t>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Greg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Rachel Potts</w:t>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VP,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VP, Chief Communications Officer</w:t>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404-403-6042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678-654-7719 </w:t>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greg.peterson@agcocorp.com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rachel.potts@agcocorp.com</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AGCO REPORTS SECOND-QUARTER RESULTS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2"/>
        </w:rPr>
        <w:t>Net sales of $2.6 billion, down 1.0% year-over-year</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2"/>
        </w:rPr>
        <w:t>Reported earnings per share of $1.08 and adjusted earnings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2"/>
        </w:rPr>
        <w:t>of $1.43</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2"/>
        </w:rPr>
        <w:t>Full-year adjusted earnings per share outlook of approximately $5.50 - $5.75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DULUTH, GA – July 30 – AGCO (NYSE: AGCO) reported net sales of $2.6 billion for the second quarter ended June 30, 2026, a decrease of 1.0% compared to the second quarter of 2025. Reported net income was $1.08 per share for the quarter and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2"/>
        </w:rPr>
        <w:t>was $1.43 per share. These results compare to reported net income of $4.22 per share and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2"/>
        </w:rPr>
        <w:t>of $1.35 per share for the second quarter of 2025. Excluding favorable foreign currency translation of 2.7%, net sales in the quarter decreased 3.7% compared to the second quarter of 2025.</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shd w:fill="FFFFFF" w:val="clear"/>
        </w:rPr>
        <w:t>“</w:t>
      </w:r>
      <w:r>
        <w:rPr>
          <w:rFonts w:ascii="Times New Roman;serif" w:hAnsi="Times New Roman;serif"/>
          <w:b w:val="false"/>
          <w:color w:val="000000"/>
          <w:sz w:val="22"/>
          <w:shd w:fill="FFFFFF" w:val="clear"/>
        </w:rPr>
        <w:t>AGCO’s second-quarter results reflect our ongoing emphasis on delivering productivity for farmers while driving greater efficiency throughout the company to further strengthen profitability through the economic cycle. Farmers responded to rising uncertainty around input costs and demand by taking a more cautious approach to equipment purchases,” said Eric Hansotia, AGCO’s Chairman, President and CEO. “With this significant shift and mixed market dynamics, we continue to take decisive actions to align production with retail demand, manage inventory levels across our dealer network and maintain strong discipline around operating expenses and working capital. At the same time, our teams remained committed to serving farmers, gaining share in key markets, including high-horsepower offerings in North America, advancing our precision agriculture initiatives and improving the quality and efficiency of our operations.”</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2"/>
          <w:shd w:fill="FFFFFF" w:val="clear"/>
        </w:rPr>
        <w:t>Hansotia continued, “Given weaker-than-expected industry conditions, currency fluctuations and a more cautious outlook for the balance of the year, we are adjusting our full-year outlook. Farmers continue to face pressure from elevated operating costs, uneven crop economics and broader macroeconomic uncertainty, resulting in delayed equipment investments and limited visibility into demand recovery. In response, we remain focused on our cost-reduction efforts, closely managing production schedules and prioritizing cash flow and margin performance. While near-term market conditions are difficult, we are confident in the strategic actions we have taken to strengthen AGCO’s competitive position and are committed to executing our Farmer-First strategy, expanding technology adoption and creating long-term value for our shareholders.”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Net sales for the first six months of 2026 were approximately $5.0 billion, an increase of 5.7% compared to the same period in 2025. For the first six months of 2026, reported net income was $1.84 per share and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2"/>
        </w:rPr>
        <w:t>was $2.37 per share. These results compare to reported net income of $4.36 per share and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2"/>
        </w:rPr>
        <w:t>of $1.76 per share for the same period in 2025. Excluding favorable foreign currency translation of 5.2%, net sales in the first six months of 2026 increased 0.5% compared to the same period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Second Quarter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Reported regional sales results</w:t>
      </w:r>
      <w:r>
        <w:rPr>
          <w:rFonts w:ascii="Times New Roman;serif" w:hAnsi="Times New Roman;serif"/>
          <w:b w:val="false"/>
          <w:color w:val="000000"/>
          <w:sz w:val="13"/>
        </w:rPr>
        <w:t>(2)</w:t>
      </w:r>
      <w:r>
        <w:rPr>
          <w:rFonts w:ascii="Times New Roman;serif" w:hAnsi="Times New Roman;serif"/>
          <w:b w:val="false"/>
          <w:color w:val="000000"/>
          <w:sz w:val="22"/>
        </w:rPr>
        <w:t>: Europe/Middle East (“EME”) (2.4)%, North America +19.7%, Latin America (“LATAM”) (17.9)%, Asia/Pacific/Africa (“APA”) (1.0)%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Constant currency regional sales results</w:t>
      </w:r>
      <w:r>
        <w:rPr>
          <w:rFonts w:ascii="Times New Roman;serif" w:hAnsi="Times New Roman;serif"/>
          <w:b w:val="false"/>
          <w:color w:val="000000"/>
          <w:sz w:val="13"/>
        </w:rPr>
        <w:t>(1)(2)(3)</w:t>
      </w:r>
      <w:r>
        <w:rPr>
          <w:rFonts w:ascii="Times New Roman;serif" w:hAnsi="Times New Roman;serif"/>
          <w:b w:val="false"/>
          <w:color w:val="000000"/>
          <w:sz w:val="22"/>
        </w:rPr>
        <w:t>: EME (4.7)%, North America +19.8%, LATAM (25.0)%, APA (6.4)%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Regional operating margin performance: EME 15.0%, North America (5.2)%, LATAM (8.0)%, APA 7.7%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completed $345 million of share repurchases in the second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On April 30, 2026, the Company completed the sale of its 49% equity interests in the AGCO Finance U.S. and Canada joint ventures for approximately $190 million. Approximately $20 million of the total consideration was recognized in “Other expense, net” during the quarter representing future earnings that were effectively monetized and recognized upon closing, resulting in upfront recognition of the estimated income associated with the run-off of the U.S. and Canada AGCO Finance portfolios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See reconciliation of non-GAAP measures in appendix.</w:t>
      </w:r>
    </w:p>
    <w:p>
      <w:pPr>
        <w:pStyle w:val="TextBody"/>
        <w:bidi w:val="0"/>
        <w:spacing w:lineRule="auto" w:line="288" w:before="0" w:after="0"/>
        <w:jc w:val="left"/>
        <w:rPr/>
      </w:pPr>
      <w:r>
        <w:rPr>
          <w:rFonts w:ascii="Times New Roman;serif" w:hAnsi="Times New Roman;serif"/>
          <w:b w:val="false"/>
          <w:i/>
          <w:color w:val="000000"/>
          <w:sz w:val="13"/>
        </w:rPr>
        <w:t xml:space="preserve">(2) </w:t>
      </w:r>
      <w:r>
        <w:rPr>
          <w:rFonts w:ascii="Times New Roman;serif" w:hAnsi="Times New Roman;serif"/>
          <w:b w:val="false"/>
          <w:i/>
          <w:color w:val="000000"/>
          <w:sz w:val="20"/>
        </w:rPr>
        <w:t>As compared to second quarter 2025.</w:t>
      </w:r>
    </w:p>
    <w:p>
      <w:pPr>
        <w:pStyle w:val="TextBody"/>
        <w:bidi w:val="0"/>
        <w:spacing w:lineRule="auto" w:line="288" w:before="0" w:after="0"/>
        <w:jc w:val="left"/>
        <w:rPr/>
      </w:pPr>
      <w:r>
        <w:rPr>
          <w:rFonts w:ascii="Times New Roman;serif" w:hAnsi="Times New Roman;serif"/>
          <w:b w:val="false"/>
          <w:i/>
          <w:color w:val="000000"/>
          <w:sz w:val="13"/>
        </w:rPr>
        <w:t>(3)</w:t>
      </w:r>
      <w:r>
        <w:rPr>
          <w:color w:val="000000"/>
        </w:rPr>
        <w:t xml:space="preserve"> </w:t>
      </w:r>
      <w:r>
        <w:rPr>
          <w:rFonts w:ascii="Times New Roman;serif" w:hAnsi="Times New Roman;serif"/>
          <w:b w:val="false"/>
          <w:i/>
          <w:color w:val="000000"/>
          <w:sz w:val="20"/>
        </w:rPr>
        <w:t>Excludes currency translation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Market Update</w:t>
      </w:r>
    </w:p>
    <w:p>
      <w:pPr>
        <w:pStyle w:val="TextBody"/>
        <w:bidi w:val="0"/>
        <w:spacing w:before="0" w:after="0"/>
        <w:jc w:val="left"/>
        <w:rPr/>
      </w:pPr>
      <w:r>
        <w:rPr/>
      </w:r>
    </w:p>
    <w:tbl>
      <w:tblPr>
        <w:tblW w:w="6895" w:type="dxa"/>
        <w:jc w:val="left"/>
        <w:tblInd w:w="0" w:type="dxa"/>
        <w:tblLayout w:type="fixed"/>
        <w:tblCellMar>
          <w:top w:w="28" w:type="dxa"/>
          <w:left w:w="28" w:type="dxa"/>
          <w:bottom w:w="28" w:type="dxa"/>
          <w:right w:w="28" w:type="dxa"/>
        </w:tblCellMar>
      </w:tblPr>
      <w:tblGrid>
        <w:gridCol w:w="1021"/>
        <w:gridCol w:w="897"/>
        <w:gridCol w:w="901"/>
        <w:gridCol w:w="109"/>
        <w:gridCol w:w="109"/>
        <w:gridCol w:w="109"/>
        <w:gridCol w:w="494"/>
        <w:gridCol w:w="494"/>
        <w:gridCol w:w="496"/>
        <w:gridCol w:w="245"/>
        <w:gridCol w:w="245"/>
        <w:gridCol w:w="245"/>
        <w:gridCol w:w="448"/>
        <w:gridCol w:w="448"/>
        <w:gridCol w:w="63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Industry Unit Retail Sales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Tractors</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Combines</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from</w:t>
              <w:br/>
              <w:t>Prior Year Period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from</w:t>
              <w:br/>
              <w:t>Prior Year Period</w:t>
            </w:r>
          </w:p>
        </w:tc>
      </w:tr>
      <w:tr>
        <w:trPr/>
        <w:tc>
          <w:tcPr>
            <w:tcW w:w="28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Brazil</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Western Europe</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2"/>
        </w:rPr>
        <w:t xml:space="preserve">(4) </w:t>
      </w:r>
      <w:r>
        <w:rPr>
          <w:rFonts w:ascii="Times New Roman;serif" w:hAnsi="Times New Roman;serif"/>
          <w:b w:val="false"/>
          <w:i/>
          <w:color w:val="000000"/>
          <w:sz w:val="18"/>
        </w:rPr>
        <w:t>Excludes compact tractors.</w:t>
      </w:r>
    </w:p>
    <w:p>
      <w:pPr>
        <w:pStyle w:val="TextBody"/>
        <w:bidi w:val="0"/>
        <w:spacing w:lineRule="auto" w:line="288" w:before="0" w:after="0"/>
        <w:jc w:val="left"/>
        <w:rPr/>
      </w:pPr>
      <w:r>
        <w:rPr>
          <w:rFonts w:ascii="Times New Roman;serif" w:hAnsi="Times New Roman;serif"/>
          <w:b w:val="false"/>
          <w:i/>
          <w:color w:val="000000"/>
          <w:sz w:val="12"/>
        </w:rPr>
        <w:t xml:space="preserve">(5) </w:t>
      </w:r>
      <w:r>
        <w:rPr>
          <w:rFonts w:ascii="Times New Roman;serif" w:hAnsi="Times New Roman;serif"/>
          <w:b w:val="false"/>
          <w:i/>
          <w:color w:val="000000"/>
          <w:sz w:val="18"/>
        </w:rPr>
        <w:t>Based on Company estimates.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Hansotia concluded, “As we move into the second half of 2026, farmers around the world have a heightened focus on maximizing net farm income through prioritizing productivity and performance from every acre and machine. Global trade discussions, geopolitical developments and changes in energy and input costs continue to influence farmer confidence and investment activity. Demand for agricultural equipment remains well below historical mid-cycle levels, and retail activity generally reflects producer profitability and replacement requirements. Technology-enabled solutions continue to gain traction as farmers look to improve operating efficiency and adopt more precision agriculture, automation and digital tools. AGCO's focus on innovation, customer success and disciplined execution positions us to navigate the current environment and capitalize on opportunities as agricultural markets strengthen.”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North American industry retail tractor sales were</w:t>
      </w:r>
      <w:r>
        <w:rPr>
          <w:color w:val="000000"/>
          <w:shd w:fill="FFFFFF" w:val="clear"/>
        </w:rPr>
        <w:t xml:space="preserve"> </w:t>
      </w:r>
      <w:r>
        <w:rPr>
          <w:rFonts w:ascii="Times New Roman;serif" w:hAnsi="Times New Roman;serif"/>
          <w:b w:val="false"/>
          <w:color w:val="000000"/>
          <w:sz w:val="22"/>
          <w:shd w:fill="FFFFFF" w:val="clear"/>
        </w:rPr>
        <w:t>9% lower in the first six months of 2026 compared to the same period in 2025 with the largest change occurring in higher-horsepower categories. Combine unit sales were 7% lower year-over-year during the same period. Current farm economics, evolving grain export demand and elevated input costs are expected to continue to pressure industry demand throughout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Brazil industry retail tractor s</w:t>
      </w:r>
      <w:r>
        <w:rPr>
          <w:rFonts w:ascii="Times New Roman;serif" w:hAnsi="Times New Roman;serif"/>
          <w:b w:val="false"/>
          <w:color w:val="000000"/>
          <w:sz w:val="22"/>
          <w:shd w:fill="FFFFFF" w:val="clear"/>
        </w:rPr>
        <w:t>ales were 11% lower in the first six months of 2026 compared to the same period in 2025 reflecting softer demand for larger tractors partially offset by improved demand for smaller and mid-size equipment. Brazil’s farm profitability is under pressure due to high production costs, particularly for imported fertilizer and demand for larger equipment has not yet shown renewed growth. Financing costs, credit conditions and broader political dynamics are expected to continue to constrain demand in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Western Europe industry retail tractor sales were 3% higher during the first six months of 2026 compared to the same period in 2025 led by strong growth in the United Kingdom and Scandinavia and stable demand across the broader Western European markets. Farm income levels in 2025, supported primarily by dairy and livestock producers, together with an aging equipment fleet, provide a favorable foundation for 2026 industry demand to remain consistent with 2025 levels despite higher input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Regional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AGCO</w:t>
      </w:r>
      <w:r>
        <w:rPr>
          <w:color w:val="000000"/>
        </w:rPr>
        <w:t xml:space="preserve"> </w:t>
      </w:r>
      <w:r>
        <w:rPr>
          <w:rFonts w:ascii="Times New Roman;serif" w:hAnsi="Times New Roman;serif"/>
          <w:b/>
          <w:i/>
          <w:color w:val="000000"/>
          <w:sz w:val="22"/>
        </w:rPr>
        <w:t>Regional Net Sales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6"/>
        <w:gridCol w:w="405"/>
        <w:gridCol w:w="407"/>
        <w:gridCol w:w="109"/>
        <w:gridCol w:w="109"/>
        <w:gridCol w:w="109"/>
        <w:gridCol w:w="211"/>
        <w:gridCol w:w="766"/>
        <w:gridCol w:w="109"/>
        <w:gridCol w:w="109"/>
        <w:gridCol w:w="109"/>
        <w:gridCol w:w="109"/>
        <w:gridCol w:w="211"/>
        <w:gridCol w:w="766"/>
        <w:gridCol w:w="109"/>
        <w:gridCol w:w="109"/>
        <w:gridCol w:w="109"/>
        <w:gridCol w:w="109"/>
        <w:gridCol w:w="385"/>
        <w:gridCol w:w="385"/>
        <w:gridCol w:w="386"/>
        <w:gridCol w:w="109"/>
        <w:gridCol w:w="109"/>
        <w:gridCol w:w="109"/>
        <w:gridCol w:w="644"/>
        <w:gridCol w:w="644"/>
        <w:gridCol w:w="646"/>
        <w:gridCol w:w="109"/>
        <w:gridCol w:w="109"/>
        <w:gridCol w:w="109"/>
        <w:gridCol w:w="109"/>
        <w:gridCol w:w="109"/>
        <w:gridCol w:w="508"/>
        <w:gridCol w:w="508"/>
        <w:gridCol w:w="726"/>
      </w:tblGrid>
      <w:tr>
        <w:trPr/>
        <w:tc>
          <w:tcPr>
            <w:tcW w:w="53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change from 2025 due to currency translation</w:t>
            </w: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excluding currency translation</w:t>
            </w:r>
          </w:p>
        </w:tc>
      </w:tr>
      <w:tr>
        <w:trPr/>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LATAM</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391"/>
        <w:gridCol w:w="392"/>
        <w:gridCol w:w="109"/>
        <w:gridCol w:w="109"/>
        <w:gridCol w:w="109"/>
        <w:gridCol w:w="211"/>
        <w:gridCol w:w="766"/>
        <w:gridCol w:w="109"/>
        <w:gridCol w:w="109"/>
        <w:gridCol w:w="109"/>
        <w:gridCol w:w="109"/>
        <w:gridCol w:w="211"/>
        <w:gridCol w:w="766"/>
        <w:gridCol w:w="109"/>
        <w:gridCol w:w="109"/>
        <w:gridCol w:w="109"/>
        <w:gridCol w:w="109"/>
        <w:gridCol w:w="387"/>
        <w:gridCol w:w="387"/>
        <w:gridCol w:w="389"/>
        <w:gridCol w:w="109"/>
        <w:gridCol w:w="109"/>
        <w:gridCol w:w="109"/>
        <w:gridCol w:w="651"/>
        <w:gridCol w:w="651"/>
        <w:gridCol w:w="653"/>
        <w:gridCol w:w="109"/>
        <w:gridCol w:w="109"/>
        <w:gridCol w:w="109"/>
        <w:gridCol w:w="109"/>
        <w:gridCol w:w="109"/>
        <w:gridCol w:w="514"/>
        <w:gridCol w:w="514"/>
        <w:gridCol w:w="732"/>
      </w:tblGrid>
      <w:tr>
        <w:trPr/>
        <w:tc>
          <w:tcPr>
            <w:tcW w:w="5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from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change from 2025 due to currency translation</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excluding currency translation</w:t>
            </w:r>
          </w:p>
        </w:tc>
      </w:tr>
      <w:tr>
        <w:trPr/>
        <w:tc>
          <w:tcPr>
            <w:tcW w:w="13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LATAM</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bl>
    <w:p>
      <w:pPr>
        <w:pStyle w:val="TextBody"/>
        <w:bidi w:val="0"/>
        <w:spacing w:before="0" w:after="20"/>
        <w:jc w:val="left"/>
        <w:rPr/>
      </w:pPr>
      <w:r>
        <w:rPr/>
      </w:r>
    </w:p>
    <w:p>
      <w:pPr>
        <w:pStyle w:val="TextBody"/>
        <w:bidi w:val="0"/>
        <w:spacing w:lineRule="auto" w:line="288" w:before="0" w:after="0"/>
        <w:jc w:val="left"/>
        <w:rPr/>
      </w:pPr>
      <w:r>
        <w:rPr>
          <w:rFonts w:ascii="Times New Roman;serif" w:hAnsi="Times New Roman;serif"/>
          <w:b w:val="false"/>
          <w:i/>
          <w:color w:val="000000"/>
          <w:sz w:val="12"/>
        </w:rPr>
        <w:t>(6)</w:t>
      </w:r>
      <w:r>
        <w:rPr>
          <w:color w:val="000000"/>
        </w:rPr>
        <w:t xml:space="preserve"> </w:t>
      </w:r>
      <w:r>
        <w:rPr>
          <w:rFonts w:ascii="Times New Roman;serif" w:hAnsi="Times New Roman;serif"/>
          <w:b w:val="false"/>
          <w:i/>
          <w:color w:val="000000"/>
          <w:sz w:val="18"/>
        </w:rPr>
        <w:t>See footnotes for additional disclosures.</w:t>
      </w:r>
    </w:p>
    <w:p>
      <w:pPr>
        <w:pStyle w:val="TextBody"/>
        <w:bidi w:val="0"/>
        <w:spacing w:lineRule="auto" w:line="288" w:before="0" w:after="0"/>
        <w:jc w:val="left"/>
        <w:rPr/>
      </w:pPr>
      <w:r>
        <w:rPr>
          <w:rFonts w:ascii="Times New Roman;serif" w:hAnsi="Times New Roman;serif"/>
          <w:b w:val="false"/>
          <w:i/>
          <w:color w:val="000000"/>
          <w:sz w:val="12"/>
        </w:rPr>
        <w:t>(7)</w:t>
      </w:r>
      <w:r>
        <w:rPr>
          <w:color w:val="000000"/>
        </w:rPr>
        <w:t xml:space="preserve"> </w:t>
      </w:r>
      <w:r>
        <w:rPr>
          <w:rFonts w:ascii="Times New Roman;serif" w:hAnsi="Times New Roman;serif"/>
          <w:b w:val="false"/>
          <w:i/>
          <w:color w:val="000000"/>
          <w:sz w:val="18"/>
        </w:rPr>
        <w:t>Note: 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North America</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Net sales in the North American region </w:t>
      </w:r>
      <w:r>
        <w:rPr>
          <w:rFonts w:ascii="Times New Roman;serif" w:hAnsi="Times New Roman;serif"/>
          <w:b w:val="false"/>
          <w:color w:val="000000"/>
          <w:sz w:val="22"/>
          <w:shd w:fill="FFFFFF" w:val="clear"/>
        </w:rPr>
        <w:t>increased 19.8% during the second quarter of 2026 compared to the second quarter of 2025, excluding the impact of unfavorable currency translation. Higher unit sales compared to the prior year supported the increase in sales. The most significant sales increases occurred in high-horsepower tractors and hay tools. Loss from operations for the second quarter of 2026 was approximately flat compared to the same period in 2025, primarily due to higher tariff-related costs, partially offset by the benefit of approximately $22 million of certain IEEPA tariff refunds recognized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Latin America</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Latin America region net sales decrease</w:t>
      </w:r>
      <w:r>
        <w:rPr>
          <w:rFonts w:ascii="Times New Roman;serif" w:hAnsi="Times New Roman;serif"/>
          <w:b w:val="false"/>
          <w:color w:val="000000"/>
          <w:sz w:val="22"/>
          <w:shd w:fill="FFFFFF" w:val="clear"/>
        </w:rPr>
        <w:t>d 25.0% during the second quarter of 2026 compared to the second quarter of 2025, excluding the impact of favorable currency translation. Softer industry demand resulted in lower sales across all product categories. Income from operations for the second quarter of 2026 was $48.7 million lower compared to the same period in 2025. This decrease was primarily the result of significantly lower sales and production volumes and higher engineering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Europe/Middle East</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2"/>
          <w:shd w:fill="FFFFFF" w:val="clear"/>
        </w:rPr>
        <w:t xml:space="preserve">Net sales in the Europe/Middle East region decreased 4.7% during the second quarter of 2026 compared to the second quarter of 2025, excluding the impact of favorable currency translation. Sales declines across most European markets were partially offset by growth in Germany and the United Kingdom. Income from operations in the second quarter of 2026 was approximately flat compared to the same period in 2025, despite lower sales, resulting in an operating margin of </w:t>
      </w:r>
      <w:r>
        <w:rPr>
          <w:rFonts w:ascii="Times New Roman;serif" w:hAnsi="Times New Roman;serif"/>
          <w:b w:val="false"/>
          <w:color w:val="000000"/>
          <w:sz w:val="22"/>
        </w:rPr>
        <w:t>15.0%</w:t>
      </w:r>
      <w:r>
        <w:rPr>
          <w:rFonts w:ascii="Times New Roman;serif" w:hAnsi="Times New Roman;serif"/>
          <w:b w:val="false"/>
          <w:color w:val="000000"/>
          <w:sz w:val="22"/>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Asia/Pacific/Africa</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2"/>
          <w:shd w:fill="FFFFFF" w:val="clear"/>
        </w:rPr>
        <w:t>Asia/Pacific/Africa region net sales decreased 6.4% during the second quarter of 2026 compared to the second quarter of 2025, excluding favorable currency translation impacts. Lower sales across most of the Asian and African markets were partially offset by higher sales in Australia. Despite lower sales, income from operations in the second quarter of 2026 was approximately flat compared to the same period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Outlook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AGCO’s net sales for 2026 are expected to be from $10.1 to $10.2 billion. Adjusted operating margins are projected to be about 7.5% reflecting continued emphasis on pricing discipline, cost management and operational alignment. Production volumes are planned to align dealer inventory with market demand, while cost controls and positive pricing continue to support performance. Based on these assumptions, 2026 earnings per share are targeted between $5.50 and $5.75. These estimates reflect tariff policies as of July 30, 2026, together with AGCO’s established mitigation actions and sourcing strategies. Any changes to tariff policies or related responses could affect these projections.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AGCO will host a conference call for this earnings announcement at 10 a.m. Eastern Time on Thursday, July 30. The Company will refer to slides on its conference call. Interested persons can access the conference call and slide presentation via AGCO’s website at </w:t>
      </w:r>
      <w:r>
        <w:rPr>
          <w:rFonts w:ascii="Times New Roman;serif" w:hAnsi="Times New Roman;serif"/>
          <w:b w:val="false"/>
          <w:color w:val="000000"/>
          <w:sz w:val="22"/>
          <w:u w:val="single"/>
        </w:rPr>
        <w:t>www.agcocorp.com</w:t>
      </w:r>
      <w:r>
        <w:rPr>
          <w:color w:val="000000"/>
        </w:rPr>
        <w:t xml:space="preserve"> </w:t>
      </w:r>
      <w:r>
        <w:rPr>
          <w:rFonts w:ascii="Times New Roman;serif" w:hAnsi="Times New Roman;serif"/>
          <w:b w:val="false"/>
          <w:color w:val="000000"/>
          <w:sz w:val="22"/>
        </w:rPr>
        <w:t>under the “Investors” section. The webcast will also be archived immediately afterward for 12 months. A copy of this press release will be available on AGCO’s website for at least 12 months following the call.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Statements that are not historical facts, including the projections of earnings per share, production levels, sales, industry demand, market conditions, commodity prices, currency translation, farm income levels, margin levels, strategy, investments in product and technology development, new product introductions, restructuring and other cost reduction initiatives, production volumes, tax rates and general economic conditions, are forward-looking and subject to risks that could cause actual results to differ materially from those suggested by the statements. The following are among the factors that could cause actual results to differ materially from the results discussed in or implied by the forward-looking statements.</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Our financial results depend entirely upon the agricultural industry, and factors that adversely affect the agricultural industry generally, including declines in the general economy, adverse weather, tariffs, increases in farm input costs, lower commodity prices, lower farm income and changes in the availability of credit for our retail customers, will adversely affect us.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maintain an independent dealer and distribution network in the markets where we sell products. The financial and operational capabilities of our dealers and distributors are critical to our ability to compete in these markets. Higher inventory levels at our dealers and high utilization of dealer credit limits as well as the financial health of our dealers could negatively impact future sales and adversely impact our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On April 1, 2024, we completed the acquisition of the ag assets and technologies of Trimble through the formation of a joint venture, PTx Trimble, of which we own 85%. Financing the PTx Trimble transaction significantly increased our indebtedness and interest expense. We also have made various assumptions relating to the acquisition that may not prove to be correct, and we may fail to realize all of the anticipated benefits of the acquisition. All acquisitions involve risk, and there is no certainty that the acquired business will operate as expected. Each of these items, as well as similar acquisition-related items, would adversely impact our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 xml:space="preserve">A majority of our sales and manufacturing takes place outside the United States, and many of our sales involve products that are manufactured in one country and sold in a different country. As a result, we are exposed to risks related to foreign laws, taxes and tariffs, trade restrictions, economic conditions, labor supply and relations, political conditions and governmental policies. 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refund process remains subject to CBP review, and the administration has appealed the CIT's refund order to the U.S. Court of Appeals for the Federal Circuit, contesting both the scope of the refund obligation and the reliquidation of finally liquidated entries for importers who have not filed individual lawsuits. It remains uncertain when, or to what extent, such refunds will ultimately be collected.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impact, our cost of goods sold. In addition, higher tariffs may lead to increased after</w:t>
        <w:noBreakHyphen/>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There is a potential for natural gas shortages, as well as shortages in other energy sources, throughout Europe, which could negatively impact our production in Europe both directly and through interrupting the supply of parts and components that we use. It is unclear how long these conditions will continue, or whether they will worsen, and what the ultimate impact on our performance will be. In addition, AGCO sells products in, and purchases parts and components from, other regions where there could be hostilities. Any hostilities likely would adversely impact our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Most retail sales of the products that we manufacture are financed, either by our joint ventures with Rabobank or by a bank or other private lender. The AGCO Finance joint ventures with Rabobank, which are wholly owned or controlled by Rabobank and are dependent upon Rabobank for financing as well, finance approximately 50% of the retail sales of our tractors and combines in the markets where the joint ventures operate. Any difficulty by Rabobank to continue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us to find another source of retail financing for our customers, or our customers would be required to utilize other retail financing providers. As a result of the recent economic downturn, financing for capital equipment purchases generally has become more difficult in certain regions and in some cases, can be expensive to obtain. To the extent that financing is not available or available only at unattractive prices, our sales would be negatively impacted. In addition, Rabobank also is the lead lender in our revolving credit facility and term loans and for many years has been an important financing partner for us. Any interruption or other challenges in that relationship would require us to obtain alternative financing, which could be difficult.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Both AGCO and our finance joint ventures have substantial accounts receivable from dealers and end customers, and we would be adversely impacted if the collectability of these receivables was less than optimal; this collectability is dependent upon the financial strength of the farm industry, which in turn is dependent upon the general economy and commodity prices, as well as several of the other factors listed in this section.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can experience substantial and sustained volatility with respect to currency exchange rate and interest rate changes, which can adversely affect our reported results of operations and the competitiveness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Our success depends on the introduction of new products, particularly engines that comply with emission requirements and sustainable smart farming technology, which require substantial expenditures; there is no certainty that we can develop the necessary technology or that the technology that we develop will be attractive to farmers or available at competitive prices.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Our expansion plans in emerging markets, including establishing a greater manufacturing and marketing presence and growing our use of component suppliers, could entail significant risks.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Our business is increasingly subject to regulations relating to privacy and data protection, and if we violate any of those regulations, or otherwise are the victim of a cyberattack, we could be subject to significant claims, penalties and damages.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Cybersecurity breaches including ransomware attacks and other means are rapidly increasing. We continue to review and improve our safeguards to minimize our exposure to future attacks. However, there always will be the potential of the risk that a cyberattack will be successful and will disrupt our business, either through shutting down our operations, destroying data, exfiltrating data or otherwise.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Any future pandemics could negatively impact our business through reduced sales, facility closures, higher absentee rates and reduced production at both our plants and the plants that supply us with parts and components. In addition, logistical and transportation-related issues and similar problems may also arise.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have previously experienced significant inflation in a range of costs, including for parts and components, shipping and energy. While we have been able to pass along most of those costs through increased prices, there can be no assurance that we will be able to continue to do so. If we are not, it will adversely impact our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face significant competition, and if we are unable to compete successfully against other agricultural equipment manufacturers, we would lose customers and our net sales and performance would decline.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We have a substantial amount of indebtedness (and have incurred additional indebtedness as part of the PTx Trimble joint venture transaction), and, as a result, we are subject to certain restrictive covenants and payment obligations, as well as increased leverage generally, that may adversely affect our ability to operate and expand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Further information concerning these and other factors is included in AGCO’s filings with the Securities and Exchange Commission, including its Form 10-K for the year ended December 31, 2025, and subsequent Form 10-Qs. AGCO disclaims any obligation to update any forward-looking statements except as required by law.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AGCO</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shd w:fill="FFFFFF" w:val="clear"/>
        </w:rPr>
        <w:t xml:space="preserve">AGCO (NYSE: AGCO) is a global leader in agricultural machinery and precision agriculture technologies. Driven by a Farmer-First strategy, AGCO delivers value through its differentiated leading brands, Fendt™, Massey Ferguson™, PTx™ and Valtra™. AGCO's high-performance equipment and smart farming solutions, including brand-agnostic retrofit technologies and autonomous offerings, empower farmers to drive productivity while sustainably feeding the world. For more information, visit </w:t>
      </w:r>
      <w:r>
        <w:rPr>
          <w:rFonts w:ascii="Times New Roman;serif" w:hAnsi="Times New Roman;serif"/>
          <w:b w:val="false"/>
          <w:color w:val="000000"/>
          <w:sz w:val="22"/>
          <w:u w:val="single"/>
        </w:rPr>
        <w:t>www.agcocorp.com</w:t>
      </w:r>
      <w:r>
        <w:rPr>
          <w:rFonts w:ascii="Times New Roman;serif" w:hAnsi="Times New Roman;serif"/>
          <w:b w:val="false"/>
          <w:color w:val="000000"/>
          <w:sz w:val="22"/>
          <w:shd w:fill="FFFFFF" w:val="clear"/>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AGCO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CONSOLIDATED BALANCE SHEETS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and in millions)</w:t>
      </w:r>
    </w:p>
    <w:tbl>
      <w:tblPr>
        <w:tblW w:w="10205" w:type="dxa"/>
        <w:jc w:val="left"/>
        <w:tblInd w:w="0" w:type="dxa"/>
        <w:tblLayout w:type="fixed"/>
        <w:tblCellMar>
          <w:top w:w="28" w:type="dxa"/>
          <w:left w:w="28" w:type="dxa"/>
          <w:bottom w:w="28" w:type="dxa"/>
          <w:right w:w="28" w:type="dxa"/>
        </w:tblCellMar>
      </w:tblPr>
      <w:tblGrid>
        <w:gridCol w:w="2120"/>
        <w:gridCol w:w="1816"/>
        <w:gridCol w:w="1820"/>
        <w:gridCol w:w="300"/>
        <w:gridCol w:w="1244"/>
        <w:gridCol w:w="155"/>
        <w:gridCol w:w="148"/>
        <w:gridCol w:w="148"/>
        <w:gridCol w:w="148"/>
        <w:gridCol w:w="391"/>
        <w:gridCol w:w="1622"/>
        <w:gridCol w:w="293"/>
      </w:tblGrid>
      <w:tr>
        <w:trPr/>
        <w:tc>
          <w:tcPr>
            <w:tcW w:w="212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11,927.8 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STOCKHOLDERS’ EQUITY</w:t>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due within one year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 and debt issuance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health care benefits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4,273.5 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stockholders’ equity</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11,927.8 </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AGCO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CONSOLIDATED STATEMENTS OF OPERATIONS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and in millions, except per share data)</w:t>
      </w:r>
    </w:p>
    <w:tbl>
      <w:tblPr>
        <w:tblW w:w="9418" w:type="dxa"/>
        <w:jc w:val="left"/>
        <w:tblInd w:w="0" w:type="dxa"/>
        <w:tblLayout w:type="fixed"/>
        <w:tblCellMar>
          <w:top w:w="28" w:type="dxa"/>
          <w:left w:w="28" w:type="dxa"/>
          <w:bottom w:w="28" w:type="dxa"/>
          <w:right w:w="28" w:type="dxa"/>
        </w:tblCellMar>
      </w:tblPr>
      <w:tblGrid>
        <w:gridCol w:w="2479"/>
        <w:gridCol w:w="2169"/>
        <w:gridCol w:w="2192"/>
        <w:gridCol w:w="214"/>
        <w:gridCol w:w="777"/>
        <w:gridCol w:w="110"/>
        <w:gridCol w:w="110"/>
        <w:gridCol w:w="110"/>
        <w:gridCol w:w="110"/>
        <w:gridCol w:w="214"/>
        <w:gridCol w:w="777"/>
        <w:gridCol w:w="156"/>
      </w:tblGrid>
      <w:tr>
        <w:trPr/>
        <w:tc>
          <w:tcPr>
            <w:tcW w:w="247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AGCO Corporation:</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paid per common share</w:t>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9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AGCO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CONSOLIDATED STATEMENTS OF OPERATIONS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and in millions, except per share data)</w:t>
      </w:r>
    </w:p>
    <w:tbl>
      <w:tblPr>
        <w:tblW w:w="9384" w:type="dxa"/>
        <w:jc w:val="left"/>
        <w:tblInd w:w="0" w:type="dxa"/>
        <w:tblLayout w:type="fixed"/>
        <w:tblCellMar>
          <w:top w:w="28" w:type="dxa"/>
          <w:left w:w="28" w:type="dxa"/>
          <w:bottom w:w="28" w:type="dxa"/>
          <w:right w:w="28" w:type="dxa"/>
        </w:tblCellMar>
      </w:tblPr>
      <w:tblGrid>
        <w:gridCol w:w="2479"/>
        <w:gridCol w:w="2169"/>
        <w:gridCol w:w="2192"/>
        <w:gridCol w:w="211"/>
        <w:gridCol w:w="766"/>
        <w:gridCol w:w="109"/>
        <w:gridCol w:w="109"/>
        <w:gridCol w:w="109"/>
        <w:gridCol w:w="109"/>
        <w:gridCol w:w="211"/>
        <w:gridCol w:w="766"/>
        <w:gridCol w:w="154"/>
      </w:tblGrid>
      <w:tr>
        <w:trPr/>
        <w:tc>
          <w:tcPr>
            <w:tcW w:w="247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earnings of affiliates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AGCO Corporation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attributable to AGCO Corporation</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paid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AGCO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CONSOLIDATED STATEMENTS OF CASH FLOWS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and in millions)</w:t>
      </w:r>
    </w:p>
    <w:tbl>
      <w:tblPr>
        <w:tblW w:w="9848" w:type="dxa"/>
        <w:jc w:val="left"/>
        <w:tblInd w:w="0" w:type="dxa"/>
        <w:tblLayout w:type="fixed"/>
        <w:tblCellMar>
          <w:top w:w="28" w:type="dxa"/>
          <w:left w:w="28" w:type="dxa"/>
          <w:bottom w:w="28" w:type="dxa"/>
          <w:right w:w="28" w:type="dxa"/>
        </w:tblCellMar>
      </w:tblPr>
      <w:tblGrid>
        <w:gridCol w:w="2702"/>
        <w:gridCol w:w="2380"/>
        <w:gridCol w:w="2387"/>
        <w:gridCol w:w="224"/>
        <w:gridCol w:w="654"/>
        <w:gridCol w:w="115"/>
        <w:gridCol w:w="115"/>
        <w:gridCol w:w="115"/>
        <w:gridCol w:w="115"/>
        <w:gridCol w:w="224"/>
        <w:gridCol w:w="654"/>
        <w:gridCol w:w="163"/>
      </w:tblGrid>
      <w:tr>
        <w:trPr/>
        <w:tc>
          <w:tcPr>
            <w:tcW w:w="270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 net of cash received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 in unconsolidated affiliates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indebtedness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indebtedness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retirement of common stock</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stockholders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minimum tax withholdings on stock compensation</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AGCO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millions)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    SEGMENT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and six months ended June 30, 2026 and 2025 based on the Company’s reportable segments are as follows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8"/>
        <w:gridCol w:w="689"/>
        <w:gridCol w:w="692"/>
        <w:gridCol w:w="109"/>
        <w:gridCol w:w="109"/>
        <w:gridCol w:w="109"/>
        <w:gridCol w:w="248"/>
        <w:gridCol w:w="726"/>
        <w:gridCol w:w="128"/>
        <w:gridCol w:w="109"/>
        <w:gridCol w:w="109"/>
        <w:gridCol w:w="109"/>
        <w:gridCol w:w="245"/>
        <w:gridCol w:w="717"/>
        <w:gridCol w:w="126"/>
        <w:gridCol w:w="109"/>
        <w:gridCol w:w="109"/>
        <w:gridCol w:w="109"/>
        <w:gridCol w:w="271"/>
        <w:gridCol w:w="984"/>
        <w:gridCol w:w="139"/>
        <w:gridCol w:w="109"/>
        <w:gridCol w:w="109"/>
        <w:gridCol w:w="109"/>
        <w:gridCol w:w="285"/>
        <w:gridCol w:w="834"/>
        <w:gridCol w:w="147"/>
        <w:gridCol w:w="109"/>
        <w:gridCol w:w="109"/>
        <w:gridCol w:w="109"/>
        <w:gridCol w:w="235"/>
        <w:gridCol w:w="855"/>
        <w:gridCol w:w="181"/>
      </w:tblGrid>
      <w:tr>
        <w:trPr/>
        <w:tc>
          <w:tcPr>
            <w:tcW w:w="10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r>
      <w:tr>
        <w:trPr/>
        <w:tc>
          <w:tcPr>
            <w:tcW w:w="2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68"/>
        <w:gridCol w:w="689"/>
        <w:gridCol w:w="692"/>
        <w:gridCol w:w="109"/>
        <w:gridCol w:w="109"/>
        <w:gridCol w:w="109"/>
        <w:gridCol w:w="248"/>
        <w:gridCol w:w="726"/>
        <w:gridCol w:w="128"/>
        <w:gridCol w:w="109"/>
        <w:gridCol w:w="109"/>
        <w:gridCol w:w="109"/>
        <w:gridCol w:w="245"/>
        <w:gridCol w:w="717"/>
        <w:gridCol w:w="126"/>
        <w:gridCol w:w="109"/>
        <w:gridCol w:w="109"/>
        <w:gridCol w:w="109"/>
        <w:gridCol w:w="271"/>
        <w:gridCol w:w="984"/>
        <w:gridCol w:w="139"/>
        <w:gridCol w:w="109"/>
        <w:gridCol w:w="109"/>
        <w:gridCol w:w="109"/>
        <w:gridCol w:w="285"/>
        <w:gridCol w:w="834"/>
        <w:gridCol w:w="147"/>
        <w:gridCol w:w="109"/>
        <w:gridCol w:w="109"/>
        <w:gridCol w:w="109"/>
        <w:gridCol w:w="235"/>
        <w:gridCol w:w="855"/>
        <w:gridCol w:w="181"/>
      </w:tblGrid>
      <w:tr>
        <w:trPr/>
        <w:tc>
          <w:tcPr>
            <w:tcW w:w="10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Europe/Middle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Asia/Pacific/Africa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r>
      <w:tr>
        <w:trPr/>
        <w:tc>
          <w:tcPr>
            <w:tcW w:w="2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 reconciliation from the segment information to the consolidated balances for income from operations is set forth below (in millions):</w:t>
      </w:r>
    </w:p>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513"/>
        <w:gridCol w:w="1333"/>
        <w:gridCol w:w="1338"/>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from operations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business optimization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from operations</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center"/>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before="0" w:after="0"/>
        <w:ind w:left="0" w:right="0" w:hanging="27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This earnings release discloses adjusted income from operations, adjusted operating margin, adjusted net income, adjusted net income per share and net sales on a constant currency basis, each of which excludes amounts that are typically included in the most directly comparable measure calculated in accordance with U.S. generally accepted accounting principles (“GAAP”). A reconciliation of each of those measures to the most directly comparable GAAP measure is included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following is a reconciliation of reported income from operations, net income attributable to AGCO and net income per share attributable to AGCO to adjusted income from operations, adjusted net income and adjusted net income per share for the three and six months ended June 30, 2026 and 2025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8"/>
        <w:gridCol w:w="570"/>
        <w:gridCol w:w="576"/>
        <w:gridCol w:w="263"/>
        <w:gridCol w:w="771"/>
        <w:gridCol w:w="137"/>
        <w:gridCol w:w="109"/>
        <w:gridCol w:w="109"/>
        <w:gridCol w:w="109"/>
        <w:gridCol w:w="220"/>
        <w:gridCol w:w="642"/>
        <w:gridCol w:w="113"/>
        <w:gridCol w:w="109"/>
        <w:gridCol w:w="109"/>
        <w:gridCol w:w="109"/>
        <w:gridCol w:w="258"/>
        <w:gridCol w:w="627"/>
        <w:gridCol w:w="133"/>
        <w:gridCol w:w="109"/>
        <w:gridCol w:w="109"/>
        <w:gridCol w:w="109"/>
        <w:gridCol w:w="263"/>
        <w:gridCol w:w="771"/>
        <w:gridCol w:w="137"/>
        <w:gridCol w:w="109"/>
        <w:gridCol w:w="109"/>
        <w:gridCol w:w="109"/>
        <w:gridCol w:w="220"/>
        <w:gridCol w:w="642"/>
        <w:gridCol w:w="113"/>
        <w:gridCol w:w="109"/>
        <w:gridCol w:w="109"/>
        <w:gridCol w:w="109"/>
        <w:gridCol w:w="256"/>
        <w:gridCol w:w="621"/>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 Per Share</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 Per Share</w:t>
            </w:r>
            <w:r>
              <w:rPr>
                <w:rFonts w:ascii="Times New Roman;serif" w:hAnsi="Times New Roman;serif"/>
                <w:b w:val="false"/>
                <w:color w:val="000000"/>
                <w:sz w:val="12"/>
              </w:rPr>
              <w:t>(1)</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business optimization expenses</w:t>
            </w:r>
            <w:r>
              <w:rPr>
                <w:rFonts w:ascii="Times New Roman;serif" w:hAnsi="Times New Roman;serif"/>
                <w:b w:val="false"/>
                <w:color w:val="000000"/>
                <w:sz w:val="12"/>
              </w:rPr>
              <w:t>(2)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PTx Trimble acquired intangibles</w:t>
            </w:r>
            <w:r>
              <w:rPr>
                <w:rFonts w:ascii="Times New Roman;serif" w:hAnsi="Times New Roman;serif"/>
                <w:b w:val="false"/>
                <w:color w:val="000000"/>
                <w:sz w:val="12"/>
              </w:rPr>
              <w:t>(3)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2"/>
              </w:rPr>
              <w:t>(4)</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charges</w:t>
            </w:r>
            <w:r>
              <w:rPr>
                <w:rFonts w:ascii="Times New Roman;serif" w:hAnsi="Times New Roman;serif"/>
                <w:b w:val="false"/>
                <w:color w:val="000000"/>
                <w:sz w:val="12"/>
              </w:rPr>
              <w:t>(5)</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sale of business</w:t>
            </w:r>
            <w:r>
              <w:rPr>
                <w:rFonts w:ascii="Times New Roman;serif" w:hAnsi="Times New Roman;serif"/>
                <w:b w:val="false"/>
                <w:color w:val="000000"/>
                <w:sz w:val="12"/>
              </w:rPr>
              <w:t>(6)</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Divestiture-related foreign currency translation release</w:t>
            </w:r>
            <w:r>
              <w:rPr>
                <w:rFonts w:ascii="Times New Roman;serif" w:hAnsi="Times New Roman;serif"/>
                <w:b w:val="false"/>
                <w:color w:val="000000"/>
                <w:sz w:val="12"/>
              </w:rPr>
              <w:t>(7)</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tax items</w:t>
            </w:r>
            <w:r>
              <w:rPr>
                <w:rFonts w:ascii="Times New Roman;serif" w:hAnsi="Times New Roman;serif"/>
                <w:b w:val="false"/>
                <w:color w:val="000000"/>
                <w:sz w:val="12"/>
              </w:rPr>
              <w:t>(8)</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adjusted</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Net income and net income per share amounts are after tax.</w:t>
      </w:r>
    </w:p>
    <w:p>
      <w:pPr>
        <w:pStyle w:val="TextBody"/>
        <w:bidi w:val="0"/>
        <w:spacing w:lineRule="auto" w:line="288" w:before="40" w:after="283"/>
        <w:ind w:left="0" w:right="0" w:hanging="27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The restructuring expenses recorded during the three months ended June 30, 2026 and 2025 related primarily to severance, business optimization and other related costs associated with the Company’s restructuring program.</w:t>
      </w:r>
    </w:p>
    <w:p>
      <w:pPr>
        <w:pStyle w:val="TextBody"/>
        <w:bidi w:val="0"/>
        <w:spacing w:lineRule="auto" w:line="288" w:before="40" w:after="283"/>
        <w:ind w:left="0" w:right="0" w:hanging="27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Amortization of intangibles related to intangibles acquired as part of the Company’s acquisition of PTx Trimble.</w:t>
      </w:r>
    </w:p>
    <w:p>
      <w:pPr>
        <w:pStyle w:val="TextBody"/>
        <w:bidi w:val="0"/>
        <w:spacing w:lineRule="auto" w:line="288" w:before="40" w:after="283"/>
        <w:ind w:left="0" w:right="0" w:hanging="270"/>
        <w:jc w:val="left"/>
        <w:rPr/>
      </w:pPr>
      <w:r>
        <w:rPr>
          <w:rFonts w:ascii="Times New Roman;serif" w:hAnsi="Times New Roman;serif"/>
          <w:b w:val="false"/>
          <w:color w:val="000000"/>
          <w:sz w:val="12"/>
        </w:rPr>
        <w:t>(4)</w:t>
      </w:r>
      <w:r>
        <w:rPr>
          <w:color w:val="000000"/>
        </w:rPr>
        <w:t>    </w:t>
      </w:r>
      <w:r>
        <w:rPr>
          <w:rFonts w:ascii="Times New Roman;serif" w:hAnsi="Times New Roman;serif"/>
          <w:b w:val="false"/>
          <w:color w:val="000000"/>
          <w:sz w:val="18"/>
        </w:rPr>
        <w:t>The transaction-related costs recorded during the three months ended June 30, 2026 related to the Company’s divestiture of the majority of its Grain &amp; Protein (“G&amp;P”) business. The transaction-related costs recorded during the three months ended June 30, 2025 related to the Company’s divestiture of the majority of its G&amp;P business and the formation of the PTx Trimble joint venture.</w:t>
      </w:r>
    </w:p>
    <w:p>
      <w:pPr>
        <w:pStyle w:val="TextBody"/>
        <w:bidi w:val="0"/>
        <w:spacing w:lineRule="auto" w:line="288" w:before="40" w:after="283"/>
        <w:ind w:left="0" w:right="0" w:hanging="270"/>
        <w:jc w:val="left"/>
        <w:rPr/>
      </w:pPr>
      <w:r>
        <w:rPr>
          <w:rFonts w:ascii="Times New Roman;serif" w:hAnsi="Times New Roman;serif"/>
          <w:b w:val="false"/>
          <w:color w:val="000000"/>
          <w:sz w:val="12"/>
        </w:rPr>
        <w:t>(5)</w:t>
      </w:r>
      <w:r>
        <w:rPr>
          <w:color w:val="000000"/>
        </w:rPr>
        <w:t>    </w:t>
      </w:r>
      <w:r>
        <w:rPr>
          <w:rFonts w:ascii="Times New Roman;serif" w:hAnsi="Times New Roman;serif"/>
          <w:b w:val="false"/>
          <w:color w:val="000000"/>
          <w:sz w:val="18"/>
        </w:rPr>
        <w:t>The impairment charges recorded during the three months ended June 30, 2025 primarily related to the impairment of certain other assets.</w:t>
      </w:r>
    </w:p>
    <w:p>
      <w:pPr>
        <w:pStyle w:val="TextBody"/>
        <w:bidi w:val="0"/>
        <w:spacing w:lineRule="auto" w:line="288" w:before="40" w:after="283"/>
        <w:ind w:left="0" w:right="0" w:hanging="270"/>
        <w:jc w:val="left"/>
        <w:rPr/>
      </w:pPr>
      <w:r>
        <w:rPr>
          <w:rFonts w:ascii="Times New Roman;serif" w:hAnsi="Times New Roman;serif"/>
          <w:b w:val="false"/>
          <w:color w:val="000000"/>
          <w:sz w:val="12"/>
        </w:rPr>
        <w:t>(6)</w:t>
      </w:r>
      <w:r>
        <w:rPr>
          <w:color w:val="000000"/>
        </w:rPr>
        <w:t>    </w:t>
      </w:r>
      <w:r>
        <w:rPr>
          <w:rFonts w:ascii="Times New Roman;serif" w:hAnsi="Times New Roman;serif"/>
          <w:b w:val="false"/>
          <w:color w:val="000000"/>
          <w:sz w:val="18"/>
        </w:rPr>
        <w:t>The loss on sale of business recorded during the three months ended June 30, 2025 related to the finalization of the preliminary working capital and other adjustments related to the sale of the majority of the Company's G&amp;P business.</w:t>
      </w:r>
    </w:p>
    <w:p>
      <w:pPr>
        <w:pStyle w:val="TextBody"/>
        <w:bidi w:val="0"/>
        <w:spacing w:lineRule="auto" w:line="288" w:before="40" w:after="283"/>
        <w:ind w:left="0" w:right="0" w:hanging="270"/>
        <w:jc w:val="left"/>
        <w:rPr/>
      </w:pPr>
      <w:r>
        <w:rPr>
          <w:rFonts w:ascii="Times New Roman;serif" w:hAnsi="Times New Roman;serif"/>
          <w:b w:val="false"/>
          <w:color w:val="000000"/>
          <w:sz w:val="12"/>
        </w:rPr>
        <w:t>(7)</w:t>
      </w:r>
      <w:r>
        <w:rPr>
          <w:color w:val="000000"/>
        </w:rPr>
        <w:t>    </w:t>
      </w:r>
      <w:r>
        <w:rPr>
          <w:rFonts w:ascii="Times New Roman;serif" w:hAnsi="Times New Roman;serif"/>
          <w:b w:val="false"/>
          <w:color w:val="000000"/>
          <w:sz w:val="18"/>
        </w:rPr>
        <w:t>During the three months ended June 30, 2026, the Company divested its interests in its Canadian finance joint venture. Foreign currency translation impacts since inception of the finance joint venture previously recognized within “Accumulated other comprehensive loss” were recorded within “Other expense, net” in the Company’s Condensed Consolidated Statements of Operations.</w:t>
      </w:r>
    </w:p>
    <w:p>
      <w:pPr>
        <w:pStyle w:val="TextBody"/>
        <w:bidi w:val="0"/>
        <w:spacing w:lineRule="auto" w:line="288" w:before="40" w:after="283"/>
        <w:ind w:left="0" w:right="0" w:hanging="270"/>
        <w:jc w:val="left"/>
        <w:rPr/>
      </w:pPr>
      <w:r>
        <w:rPr>
          <w:rFonts w:ascii="Times New Roman;serif" w:hAnsi="Times New Roman;serif"/>
          <w:b w:val="false"/>
          <w:color w:val="000000"/>
          <w:sz w:val="12"/>
        </w:rPr>
        <w:t>(8)</w:t>
      </w:r>
      <w:r>
        <w:rPr>
          <w:color w:val="000000"/>
        </w:rPr>
        <w:t>    </w:t>
      </w:r>
      <w:r>
        <w:rPr>
          <w:rFonts w:ascii="Times New Roman;serif" w:hAnsi="Times New Roman;serif"/>
          <w:b w:val="false"/>
          <w:color w:val="000000"/>
          <w:sz w:val="18"/>
        </w:rPr>
        <w:t>During the three months ended June 30, 2025, the Company’s income tax provision included a net tax benefit of $255.2 million related to a legal entity reorganization.</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38"/>
        <w:gridCol w:w="570"/>
        <w:gridCol w:w="576"/>
        <w:gridCol w:w="263"/>
        <w:gridCol w:w="771"/>
        <w:gridCol w:w="137"/>
        <w:gridCol w:w="109"/>
        <w:gridCol w:w="109"/>
        <w:gridCol w:w="109"/>
        <w:gridCol w:w="220"/>
        <w:gridCol w:w="642"/>
        <w:gridCol w:w="113"/>
        <w:gridCol w:w="109"/>
        <w:gridCol w:w="109"/>
        <w:gridCol w:w="109"/>
        <w:gridCol w:w="258"/>
        <w:gridCol w:w="627"/>
        <w:gridCol w:w="133"/>
        <w:gridCol w:w="109"/>
        <w:gridCol w:w="109"/>
        <w:gridCol w:w="109"/>
        <w:gridCol w:w="263"/>
        <w:gridCol w:w="771"/>
        <w:gridCol w:w="137"/>
        <w:gridCol w:w="109"/>
        <w:gridCol w:w="109"/>
        <w:gridCol w:w="109"/>
        <w:gridCol w:w="220"/>
        <w:gridCol w:w="642"/>
        <w:gridCol w:w="113"/>
        <w:gridCol w:w="109"/>
        <w:gridCol w:w="109"/>
        <w:gridCol w:w="109"/>
        <w:gridCol w:w="256"/>
        <w:gridCol w:w="621"/>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 Per Share</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Net Income Per Share</w:t>
            </w:r>
            <w:r>
              <w:rPr>
                <w:rFonts w:ascii="Times New Roman;serif" w:hAnsi="Times New Roman;serif"/>
                <w:b w:val="false"/>
                <w:color w:val="000000"/>
                <w:sz w:val="12"/>
              </w:rPr>
              <w:t>(1)</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business optimization expenses</w:t>
            </w:r>
            <w:r>
              <w:rPr>
                <w:rFonts w:ascii="Times New Roman;serif" w:hAnsi="Times New Roman;serif"/>
                <w:b w:val="false"/>
                <w:color w:val="000000"/>
                <w:sz w:val="12"/>
              </w:rPr>
              <w:t>(2)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PTx Trimble acquired intangibles</w:t>
            </w:r>
            <w:r>
              <w:rPr>
                <w:rFonts w:ascii="Times New Roman;serif" w:hAnsi="Times New Roman;serif"/>
                <w:b w:val="false"/>
                <w:color w:val="000000"/>
                <w:sz w:val="12"/>
              </w:rPr>
              <w:t>(3)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2"/>
              </w:rPr>
              <w:t>(4)</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charges</w:t>
            </w:r>
            <w:r>
              <w:rPr>
                <w:rFonts w:ascii="Times New Roman;serif" w:hAnsi="Times New Roman;serif"/>
                <w:b w:val="false"/>
                <w:color w:val="000000"/>
                <w:sz w:val="12"/>
              </w:rPr>
              <w:t>(5)</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sale of business</w:t>
            </w:r>
            <w:r>
              <w:rPr>
                <w:rFonts w:ascii="Times New Roman;serif" w:hAnsi="Times New Roman;serif"/>
                <w:b w:val="false"/>
                <w:color w:val="000000"/>
                <w:sz w:val="12"/>
              </w:rPr>
              <w:t>(6)</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Divestiture-related foreign currency translation release</w:t>
            </w:r>
            <w:r>
              <w:rPr>
                <w:rFonts w:ascii="Times New Roman;serif" w:hAnsi="Times New Roman;serif"/>
                <w:b w:val="false"/>
                <w:color w:val="000000"/>
                <w:sz w:val="12"/>
              </w:rPr>
              <w:t>(7)</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tax items</w:t>
            </w:r>
            <w:r>
              <w:rPr>
                <w:rFonts w:ascii="Times New Roman;serif" w:hAnsi="Times New Roman;serif"/>
                <w:b w:val="false"/>
                <w:color w:val="000000"/>
                <w:sz w:val="12"/>
              </w:rPr>
              <w:t>(8)</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adjusted</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Net income and net income per share amounts are after tax.</w:t>
      </w:r>
    </w:p>
    <w:p>
      <w:pPr>
        <w:pStyle w:val="TextBody"/>
        <w:bidi w:val="0"/>
        <w:spacing w:lineRule="auto" w:line="288" w:before="40" w:after="283"/>
        <w:ind w:left="0" w:right="0" w:hanging="27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The restructuring expenses recorded during the six months ended June 30, 2026 and 2025 related primarily to severance, business optimization and other related costs associated with the Company’s restructuring program.</w:t>
      </w:r>
    </w:p>
    <w:p>
      <w:pPr>
        <w:pStyle w:val="TextBody"/>
        <w:bidi w:val="0"/>
        <w:spacing w:lineRule="auto" w:line="288" w:before="40" w:after="283"/>
        <w:ind w:left="0" w:right="0" w:hanging="27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Amortization of intangibles related to intangibles acquired as part of the Company’s acquisition of PTx Trimble.</w:t>
      </w:r>
    </w:p>
    <w:p>
      <w:pPr>
        <w:pStyle w:val="TextBody"/>
        <w:bidi w:val="0"/>
        <w:spacing w:lineRule="auto" w:line="288" w:before="40" w:after="283"/>
        <w:ind w:left="0" w:right="0" w:hanging="270"/>
        <w:jc w:val="left"/>
        <w:rPr/>
      </w:pPr>
      <w:r>
        <w:rPr>
          <w:rFonts w:ascii="Times New Roman;serif" w:hAnsi="Times New Roman;serif"/>
          <w:b w:val="false"/>
          <w:color w:val="000000"/>
          <w:sz w:val="12"/>
        </w:rPr>
        <w:t>(4)</w:t>
      </w:r>
      <w:r>
        <w:rPr>
          <w:color w:val="000000"/>
        </w:rPr>
        <w:t>    </w:t>
      </w:r>
      <w:r>
        <w:rPr>
          <w:rFonts w:ascii="Times New Roman;serif" w:hAnsi="Times New Roman;serif"/>
          <w:b w:val="false"/>
          <w:color w:val="000000"/>
          <w:sz w:val="18"/>
        </w:rPr>
        <w:t>The transaction-related costs recorded during the six months ended June 30, 2026 related to the Company’s divestiture of the majority of its G&amp;P business. The transaction-related costs recorded during the six months ended June 30, 2025 related to the Company’s divestiture of the majority of its G&amp;P business and the formation of the PTx Trimble joint venture.</w:t>
      </w:r>
    </w:p>
    <w:p>
      <w:pPr>
        <w:pStyle w:val="TextBody"/>
        <w:bidi w:val="0"/>
        <w:spacing w:lineRule="auto" w:line="288" w:before="40" w:after="283"/>
        <w:ind w:left="0" w:right="0" w:hanging="270"/>
        <w:jc w:val="left"/>
        <w:rPr/>
      </w:pPr>
      <w:r>
        <w:rPr>
          <w:rFonts w:ascii="Times New Roman;serif" w:hAnsi="Times New Roman;serif"/>
          <w:b w:val="false"/>
          <w:color w:val="000000"/>
          <w:sz w:val="12"/>
        </w:rPr>
        <w:t>(5)</w:t>
      </w:r>
      <w:r>
        <w:rPr>
          <w:color w:val="000000"/>
        </w:rPr>
        <w:t>    </w:t>
      </w:r>
      <w:r>
        <w:rPr>
          <w:rFonts w:ascii="Times New Roman;serif" w:hAnsi="Times New Roman;serif"/>
          <w:b w:val="false"/>
          <w:color w:val="000000"/>
          <w:sz w:val="18"/>
        </w:rPr>
        <w:t>The impairment charges recorded during the six months ended June 30, 2026 and 2025 primarily related to the impairment of certain other assets.</w:t>
      </w:r>
    </w:p>
    <w:p>
      <w:pPr>
        <w:pStyle w:val="TextBody"/>
        <w:bidi w:val="0"/>
        <w:spacing w:lineRule="auto" w:line="288" w:before="40" w:after="283"/>
        <w:ind w:left="0" w:right="0" w:hanging="270"/>
        <w:jc w:val="left"/>
        <w:rPr/>
      </w:pPr>
      <w:r>
        <w:rPr>
          <w:rFonts w:ascii="Times New Roman;serif" w:hAnsi="Times New Roman;serif"/>
          <w:b w:val="false"/>
          <w:color w:val="000000"/>
          <w:sz w:val="12"/>
        </w:rPr>
        <w:t>(6)</w:t>
      </w:r>
      <w:r>
        <w:rPr>
          <w:color w:val="000000"/>
        </w:rPr>
        <w:t>    </w:t>
      </w:r>
      <w:r>
        <w:rPr>
          <w:rFonts w:ascii="Times New Roman;serif" w:hAnsi="Times New Roman;serif"/>
          <w:b w:val="false"/>
          <w:color w:val="000000"/>
          <w:sz w:val="18"/>
        </w:rPr>
        <w:t>The loss on sale of business recorded during the six months ended June 30, 2025 related to the finalization of the preliminary working capital and other adjustments related to the sale of the majority of the Company's G&amp;P business.</w:t>
      </w:r>
    </w:p>
    <w:p>
      <w:pPr>
        <w:pStyle w:val="TextBody"/>
        <w:bidi w:val="0"/>
        <w:spacing w:lineRule="auto" w:line="288" w:before="40" w:after="283"/>
        <w:ind w:left="0" w:right="0" w:hanging="270"/>
        <w:jc w:val="left"/>
        <w:rPr/>
      </w:pPr>
      <w:r>
        <w:rPr>
          <w:rFonts w:ascii="Times New Roman;serif" w:hAnsi="Times New Roman;serif"/>
          <w:b w:val="false"/>
          <w:color w:val="000000"/>
          <w:sz w:val="12"/>
        </w:rPr>
        <w:t>(7)</w:t>
      </w:r>
      <w:r>
        <w:rPr>
          <w:color w:val="000000"/>
        </w:rPr>
        <w:t>    </w:t>
      </w:r>
      <w:r>
        <w:rPr>
          <w:rFonts w:ascii="Times New Roman;serif" w:hAnsi="Times New Roman;serif"/>
          <w:b w:val="false"/>
          <w:color w:val="000000"/>
          <w:sz w:val="18"/>
        </w:rPr>
        <w:t>During the six months ended June 30, 2026, the Company divested its interests in its Canadian finance joint venture. Foreign currency translation impacts since inception of the finance joint venture previously recognized within “Accumulated other comprehensive loss” were recorded within “Other expense, net” in the Company’s Condensed Consolidated Statements of Operations.</w:t>
      </w:r>
    </w:p>
    <w:p>
      <w:pPr>
        <w:pStyle w:val="TextBody"/>
        <w:bidi w:val="0"/>
        <w:spacing w:lineRule="auto" w:line="288" w:before="40" w:after="283"/>
        <w:ind w:left="0" w:right="0" w:hanging="270"/>
        <w:jc w:val="left"/>
        <w:rPr/>
      </w:pPr>
      <w:r>
        <w:rPr>
          <w:rFonts w:ascii="Times New Roman;serif" w:hAnsi="Times New Roman;serif"/>
          <w:b w:val="false"/>
          <w:color w:val="000000"/>
          <w:sz w:val="12"/>
        </w:rPr>
        <w:t>(8)</w:t>
      </w:r>
      <w:r>
        <w:rPr>
          <w:color w:val="000000"/>
        </w:rPr>
        <w:t>    </w:t>
      </w:r>
      <w:r>
        <w:rPr>
          <w:rFonts w:ascii="Times New Roman;serif" w:hAnsi="Times New Roman;serif"/>
          <w:b w:val="false"/>
          <w:color w:val="000000"/>
          <w:sz w:val="18"/>
        </w:rPr>
        <w:t>During the six months ended June 30, 2026, the Company received a refund resulting from a favorable resolution related to a prior settlement under the Brazilian government’s “Litigation Zero” tax amnesty program. During the six months ended June 30, 2025, the Company’s income tax provision included a net tax benefit of $255.2 million related to a legal entity reorganization.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following is a reconciliation of adjusted operating margin for the three and six months ended June 30, 2026 and 2025 (in millions, except margin data):</w:t>
      </w:r>
    </w:p>
    <w:p>
      <w:pPr>
        <w:pStyle w:val="TextBody"/>
        <w:bidi w:val="0"/>
        <w:spacing w:before="0" w:after="0"/>
        <w:jc w:val="left"/>
        <w:rPr/>
      </w:pPr>
      <w:r>
        <w:rPr/>
      </w:r>
    </w:p>
    <w:tbl>
      <w:tblPr>
        <w:tblW w:w="9423" w:type="dxa"/>
        <w:jc w:val="left"/>
        <w:tblInd w:w="0" w:type="dxa"/>
        <w:tblLayout w:type="fixed"/>
        <w:tblCellMar>
          <w:top w:w="28" w:type="dxa"/>
          <w:left w:w="28" w:type="dxa"/>
          <w:bottom w:w="28" w:type="dxa"/>
          <w:right w:w="28" w:type="dxa"/>
        </w:tblCellMar>
      </w:tblPr>
      <w:tblGrid>
        <w:gridCol w:w="1074"/>
        <w:gridCol w:w="940"/>
        <w:gridCol w:w="955"/>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from operations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margin</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margin</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Refer to the previous table for the reconciliation of income from operations to adjusted income from operations.</w:t>
      </w:r>
    </w:p>
    <w:p>
      <w:pPr>
        <w:pStyle w:val="TextBody"/>
        <w:bidi w:val="0"/>
        <w:spacing w:lineRule="auto" w:line="288" w:before="40" w:after="283"/>
        <w:ind w:left="0" w:right="0" w:hanging="27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Operating margin is defined as the ratio of income from operations divided by net sales. Adjusted operating margin is defined as the ratio of adjusted income from operations divided by net sales.</w:t>
      </w:r>
    </w:p>
    <w:p>
      <w:pPr>
        <w:pStyle w:val="TextBody"/>
        <w:bidi w:val="0"/>
        <w:spacing w:before="40" w:after="283"/>
        <w:ind w:left="0" w:right="0" w:hanging="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Company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following tables set forth, for the three and six months ended June 30, 2026 and 2025, the impact to net sales of currency translation by geographical segment (in millions,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3"/>
        <w:gridCol w:w="556"/>
        <w:gridCol w:w="560"/>
        <w:gridCol w:w="211"/>
        <w:gridCol w:w="766"/>
        <w:gridCol w:w="109"/>
        <w:gridCol w:w="109"/>
        <w:gridCol w:w="109"/>
        <w:gridCol w:w="109"/>
        <w:gridCol w:w="211"/>
        <w:gridCol w:w="766"/>
        <w:gridCol w:w="109"/>
        <w:gridCol w:w="109"/>
        <w:gridCol w:w="109"/>
        <w:gridCol w:w="109"/>
        <w:gridCol w:w="395"/>
        <w:gridCol w:w="395"/>
        <w:gridCol w:w="991"/>
        <w:gridCol w:w="109"/>
        <w:gridCol w:w="109"/>
        <w:gridCol w:w="109"/>
        <w:gridCol w:w="377"/>
        <w:gridCol w:w="915"/>
        <w:gridCol w:w="194"/>
        <w:gridCol w:w="194"/>
        <w:gridCol w:w="194"/>
        <w:gridCol w:w="194"/>
        <w:gridCol w:w="238"/>
        <w:gridCol w:w="240"/>
        <w:gridCol w:w="485"/>
        <w:gridCol w:w="109"/>
        <w:gridCol w:w="109"/>
        <w:gridCol w:w="109"/>
        <w:gridCol w:w="164"/>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due to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Latin America</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Europe/Middle East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Asia/Pacific/Africa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9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pStyle w:val="TextBody"/>
        <w:bidi w:val="0"/>
        <w:spacing w:before="40" w:after="283"/>
        <w:ind w:left="0" w:right="0" w:hanging="270"/>
        <w:jc w:val="left"/>
        <w:rPr/>
      </w:pPr>
      <w:r>
        <w:rPr/>
      </w:r>
    </w:p>
    <w:tbl>
      <w:tblPr>
        <w:tblW w:w="10164" w:type="dxa"/>
        <w:jc w:val="left"/>
        <w:tblInd w:w="0" w:type="dxa"/>
        <w:tblLayout w:type="fixed"/>
        <w:tblCellMar>
          <w:top w:w="28" w:type="dxa"/>
          <w:left w:w="28" w:type="dxa"/>
          <w:bottom w:w="28" w:type="dxa"/>
          <w:right w:w="28" w:type="dxa"/>
        </w:tblCellMar>
      </w:tblPr>
      <w:tblGrid>
        <w:gridCol w:w="635"/>
        <w:gridCol w:w="558"/>
        <w:gridCol w:w="562"/>
        <w:gridCol w:w="211"/>
        <w:gridCol w:w="766"/>
        <w:gridCol w:w="109"/>
        <w:gridCol w:w="109"/>
        <w:gridCol w:w="109"/>
        <w:gridCol w:w="109"/>
        <w:gridCol w:w="211"/>
        <w:gridCol w:w="766"/>
        <w:gridCol w:w="109"/>
        <w:gridCol w:w="109"/>
        <w:gridCol w:w="109"/>
        <w:gridCol w:w="109"/>
        <w:gridCol w:w="396"/>
        <w:gridCol w:w="396"/>
        <w:gridCol w:w="993"/>
        <w:gridCol w:w="109"/>
        <w:gridCol w:w="109"/>
        <w:gridCol w:w="109"/>
        <w:gridCol w:w="356"/>
        <w:gridCol w:w="1039"/>
        <w:gridCol w:w="183"/>
        <w:gridCol w:w="183"/>
        <w:gridCol w:w="183"/>
        <w:gridCol w:w="183"/>
        <w:gridCol w:w="203"/>
        <w:gridCol w:w="203"/>
        <w:gridCol w:w="457"/>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due to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Latin America</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Europe/Middle East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Asia/Pacific/Africa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w:t>
      </w:r>
    </w:p>
    <w:p>
      <w:pPr>
        <w:pStyle w:val="TextBody"/>
        <w:bidi w:val="0"/>
        <w:spacing w:lineRule="auto" w:line="288" w:before="40" w:after="283"/>
        <w:ind w:left="0" w:right="0" w:hanging="27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Effective January 1, 2026, the Company realigned its organizational structure to support its Farmer</w:t>
        <w:noBreakHyphen/>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7977</Words>
  <Characters>44913</Characters>
  <CharactersWithSpaces>52369</CharactersWithSpaces>
  <Paragraphs>1243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