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4"/>
          <w:szCs w:val="24"/>
          <w:color w:val="auto"/>
        </w:rPr>
      </w:pP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AGCO CORPORATION</w:t>
      </w:r>
    </w:p>
    <w:p>
      <w:pPr>
        <w:spacing w:after="0" w:line="1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IRS Employer Identification No. 58-1960019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 File Number 1-12930</w:t>
      </w:r>
    </w:p>
    <w:p>
      <w:pPr>
        <w:spacing w:after="0" w:line="200" w:lineRule="exact"/>
        <w:rPr>
          <w:sz w:val="24"/>
          <w:szCs w:val="24"/>
          <w:color w:val="auto"/>
        </w:rPr>
      </w:pP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4205 River Green Parkway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Duluth, GA 30096</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(770) 813-9200</w:t>
      </w:r>
    </w:p>
    <w:p>
      <w:pPr>
        <w:spacing w:after="0" w:line="36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AGCO Corporation’s Common Stock is registered pursuant to Section 12(b) of the Act and is listed on the New York Stock Exchange.</w:t>
      </w:r>
    </w:p>
    <w:p>
      <w:pPr>
        <w:spacing w:after="0" w:line="17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AGCO Corporation is a well-known seasoned issuer.</w:t>
      </w:r>
    </w:p>
    <w:p>
      <w:pPr>
        <w:spacing w:after="0" w:line="171"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17"/>
          <w:szCs w:val="17"/>
          <w:color w:val="auto"/>
        </w:rPr>
        <w:t>AGCO Corporation is required to file reports pursuant to Section 13 or Section 15(d) of the Act. AGCO Corporation (1) has filed all reports required to be filed by Section 13 or 15(d) of the Act during the preceding 12 months, and (2) has been subject to such filing requirements for the past 90 days.</w:t>
      </w:r>
    </w:p>
    <w:p>
      <w:pPr>
        <w:spacing w:after="0" w:line="84" w:lineRule="exact"/>
        <w:rPr>
          <w:sz w:val="24"/>
          <w:szCs w:val="24"/>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Disclosure of delinquent filers pursuant to Item 405 of Regulation S-K will not be contained in a definitive proxy statement, portions of which are incorporated by reference into Part III of this Form 10-K.</w:t>
      </w:r>
    </w:p>
    <w:p>
      <w:pPr>
        <w:spacing w:after="0" w:line="108" w:lineRule="exact"/>
        <w:rPr>
          <w:sz w:val="24"/>
          <w:szCs w:val="24"/>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AGCO Corporation has submitted electronically every Interactive Data File for the periods required to be submitted pursuant to Rule 405 of Regulation S-T.</w:t>
      </w:r>
    </w:p>
    <w:p>
      <w:pPr>
        <w:spacing w:after="0" w:line="108" w:lineRule="exact"/>
        <w:rPr>
          <w:sz w:val="24"/>
          <w:szCs w:val="24"/>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aggregate market value of AGCO Corporation’s Common Stock (based upon the closing sales price quoted on the New York Stock Exchange) held by non-affiliates as of June 30, 2018 was approximately $4.0 billion. For this purpose, directors and officers and the entities that they control have been assumed to be affiliates. As of February 22, 2019, 76,512,465 shares of AGCO Corporation’s Common Stock were outstanding.</w:t>
      </w:r>
    </w:p>
    <w:p>
      <w:pPr>
        <w:spacing w:after="0" w:line="12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AGCO Corporation is a large accelerated filer and is not a shell company.</w:t>
      </w:r>
    </w:p>
    <w:p>
      <w:pPr>
        <w:spacing w:after="0" w:line="16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Portions of AGCO Corporation’s Proxy Statement for the 2019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67" w:lineRule="exact"/>
        <w:rPr>
          <w:sz w:val="20"/>
          <w:szCs w:val="20"/>
          <w:color w:val="auto"/>
        </w:rPr>
      </w:pPr>
    </w:p>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w:t>
        </w:r>
      </w:hyperlink>
    </w:p>
    <w:p>
      <w:pPr>
        <w:spacing w:after="0" w:line="63" w:lineRule="exact"/>
        <w:rPr>
          <w:sz w:val="20"/>
          <w:szCs w:val="20"/>
          <w:color w:val="auto"/>
        </w:rPr>
      </w:pPr>
    </w:p>
    <w:p>
      <w:pPr>
        <w:ind w:left="4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Business</w:t>
        </w:r>
      </w:hyperlink>
    </w:p>
    <w:p>
      <w:pPr>
        <w:spacing w:after="0" w:line="63" w:lineRule="exact"/>
        <w:rPr>
          <w:sz w:val="20"/>
          <w:szCs w:val="20"/>
          <w:color w:val="auto"/>
        </w:rPr>
      </w:pPr>
    </w:p>
    <w:p>
      <w:pPr>
        <w:ind w:left="44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Item 1A. Risk Factors</w:t>
        </w:r>
      </w:hyperlink>
    </w:p>
    <w:p>
      <w:pPr>
        <w:spacing w:after="0" w:line="63" w:lineRule="exact"/>
        <w:rPr>
          <w:sz w:val="20"/>
          <w:szCs w:val="20"/>
          <w:color w:val="auto"/>
        </w:rPr>
      </w:pPr>
    </w:p>
    <w:p>
      <w:pPr>
        <w:ind w:left="44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Item 1B. Unresolved Staff Comments</w:t>
        </w:r>
      </w:hyperlink>
    </w:p>
    <w:p>
      <w:pPr>
        <w:spacing w:after="0" w:line="63" w:lineRule="exact"/>
        <w:rPr>
          <w:sz w:val="20"/>
          <w:szCs w:val="20"/>
          <w:color w:val="auto"/>
        </w:rPr>
      </w:pPr>
    </w:p>
    <w:p>
      <w:pPr>
        <w:ind w:left="44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2. Properties</w:t>
        </w:r>
      </w:hyperlink>
    </w:p>
    <w:p>
      <w:pPr>
        <w:spacing w:after="0" w:line="63" w:lineRule="exact"/>
        <w:rPr>
          <w:sz w:val="20"/>
          <w:szCs w:val="20"/>
          <w:color w:val="auto"/>
        </w:rPr>
      </w:pPr>
    </w:p>
    <w:p>
      <w:pPr>
        <w:ind w:left="44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3. Legal Proceedings</w:t>
        </w:r>
      </w:hyperlink>
    </w:p>
    <w:p>
      <w:pPr>
        <w:spacing w:after="0" w:line="63" w:lineRule="exact"/>
        <w:rPr>
          <w:sz w:val="20"/>
          <w:szCs w:val="20"/>
          <w:color w:val="auto"/>
        </w:rPr>
      </w:pPr>
    </w:p>
    <w:p>
      <w:pPr>
        <w:ind w:left="44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4. Mine Safety Disclosures</w:t>
        </w:r>
      </w:hyperlink>
    </w:p>
    <w:p>
      <w:pPr>
        <w:spacing w:after="0" w:line="63" w:lineRule="exact"/>
        <w:rPr>
          <w:sz w:val="20"/>
          <w:szCs w:val="20"/>
          <w:color w:val="auto"/>
        </w:rPr>
      </w:pPr>
    </w:p>
    <w:p>
      <w:pPr>
        <w:ind w:left="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PART II</w:t>
        </w:r>
      </w:hyperlink>
    </w:p>
    <w:p>
      <w:pPr>
        <w:spacing w:after="0" w:line="63" w:lineRule="exact"/>
        <w:rPr>
          <w:sz w:val="20"/>
          <w:szCs w:val="20"/>
          <w:color w:val="auto"/>
        </w:rPr>
      </w:pPr>
    </w:p>
    <w:p>
      <w:pPr>
        <w:ind w:left="440" w:right="1099"/>
        <w:spacing w:after="0" w:line="313" w:lineRule="auto"/>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5. Market For Registrant’s Common Equity, Related Stockholder Matters and Issuer Purchases of Equity Securities</w:t>
        </w:r>
      </w:hyperlink>
      <w:r>
        <w:rPr>
          <w:rFonts w:ascii="Times New Roman" w:cs="Times New Roman" w:eastAsia="Times New Roman" w:hAnsi="Times New Roman"/>
          <w:sz w:val="18"/>
          <w:szCs w:val="18"/>
          <w:u w:val="single" w:color="auto"/>
          <w:color w:val="0000EE"/>
        </w:rPr>
        <w:t xml:space="preserve"> </w:t>
      </w:r>
      <w:hyperlink w:anchor="page22">
        <w:r>
          <w:rPr>
            <w:rFonts w:ascii="Times New Roman" w:cs="Times New Roman" w:eastAsia="Times New Roman" w:hAnsi="Times New Roman"/>
            <w:sz w:val="18"/>
            <w:szCs w:val="18"/>
            <w:u w:val="single" w:color="auto"/>
            <w:color w:val="0000EE"/>
          </w:rPr>
          <w:t>Item 6. Selected Financial Data</w:t>
        </w:r>
      </w:hyperlink>
    </w:p>
    <w:p>
      <w:pPr>
        <w:ind w:left="440" w:right="2759"/>
        <w:spacing w:after="0" w:line="313" w:lineRule="auto"/>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Item 7. Management’s Discussion and Analysis of Financial Condition and Results of Operations</w:t>
        </w:r>
      </w:hyperlink>
      <w:r>
        <w:rPr>
          <w:rFonts w:ascii="Times New Roman" w:cs="Times New Roman" w:eastAsia="Times New Roman" w:hAnsi="Times New Roman"/>
          <w:sz w:val="18"/>
          <w:szCs w:val="18"/>
          <w:u w:val="single" w:color="auto"/>
          <w:color w:val="0000EE"/>
        </w:rPr>
        <w:t xml:space="preserve"> </w:t>
      </w:r>
      <w:hyperlink w:anchor="page41">
        <w:r>
          <w:rPr>
            <w:rFonts w:ascii="Times New Roman" w:cs="Times New Roman" w:eastAsia="Times New Roman" w:hAnsi="Times New Roman"/>
            <w:sz w:val="18"/>
            <w:szCs w:val="18"/>
            <w:u w:val="single" w:color="auto"/>
            <w:color w:val="0000EE"/>
          </w:rPr>
          <w:t>Item 7A. Quantitative and Qualitative Disclosures About Market Risk</w:t>
        </w:r>
      </w:hyperlink>
      <w:r>
        <w:rPr>
          <w:rFonts w:ascii="Times New Roman" w:cs="Times New Roman" w:eastAsia="Times New Roman" w:hAnsi="Times New Roman"/>
          <w:sz w:val="18"/>
          <w:szCs w:val="18"/>
          <w:u w:val="single" w:color="auto"/>
          <w:color w:val="0000EE"/>
        </w:rPr>
        <w:t xml:space="preserve"> </w:t>
      </w:r>
      <w:hyperlink w:anchor="page42">
        <w:r>
          <w:rPr>
            <w:rFonts w:ascii="Times New Roman" w:cs="Times New Roman" w:eastAsia="Times New Roman" w:hAnsi="Times New Roman"/>
            <w:sz w:val="18"/>
            <w:szCs w:val="18"/>
            <w:u w:val="single" w:color="auto"/>
            <w:color w:val="0000EE"/>
          </w:rPr>
          <w:t>Item 8. Financial Statements and Supplementary Data</w:t>
        </w:r>
      </w:hyperlink>
    </w:p>
    <w:p>
      <w:pPr>
        <w:ind w:left="440"/>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Item 9. Changes in and Disagreements with Accountants on Accounting and Financial Disclosure</w:t>
        </w:r>
      </w:hyperlink>
    </w:p>
    <w:p>
      <w:pPr>
        <w:spacing w:after="0" w:line="63"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Item 9A. Controls and Procedures</w:t>
        </w:r>
      </w:hyperlink>
    </w:p>
    <w:p>
      <w:pPr>
        <w:spacing w:after="0" w:line="63"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Item 9B. Other Information</w:t>
        </w:r>
      </w:hyperlink>
    </w:p>
    <w:p>
      <w:pPr>
        <w:spacing w:after="0" w:line="63" w:lineRule="exact"/>
        <w:rPr>
          <w:rFonts w:ascii="Times New Roman" w:cs="Times New Roman" w:eastAsia="Times New Roman" w:hAnsi="Times New Roman"/>
          <w:sz w:val="18"/>
          <w:szCs w:val="18"/>
          <w:u w:val="single" w:color="auto"/>
          <w:color w:val="0000EE"/>
        </w:rPr>
      </w:pPr>
    </w:p>
    <w:p>
      <w:pPr>
        <w:ind w:left="40"/>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PART III</w:t>
        </w:r>
      </w:hyperlink>
    </w:p>
    <w:p>
      <w:pPr>
        <w:spacing w:after="0" w:line="63"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Item 10. Directors, Executive Officers and Corporate Governance</w:t>
        </w:r>
      </w:hyperlink>
    </w:p>
    <w:p>
      <w:pPr>
        <w:spacing w:after="0" w:line="63"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Item 11. Executive Compensation</w:t>
        </w:r>
      </w:hyperlink>
    </w:p>
    <w:p>
      <w:pPr>
        <w:spacing w:after="0" w:line="63" w:lineRule="exact"/>
        <w:rPr>
          <w:rFonts w:ascii="Times New Roman" w:cs="Times New Roman" w:eastAsia="Times New Roman" w:hAnsi="Times New Roman"/>
          <w:sz w:val="18"/>
          <w:szCs w:val="18"/>
          <w:u w:val="single" w:color="auto"/>
          <w:color w:val="0000EE"/>
        </w:rPr>
      </w:pPr>
    </w:p>
    <w:p>
      <w:pPr>
        <w:ind w:left="440" w:right="1839"/>
        <w:spacing w:after="0" w:line="313" w:lineRule="auto"/>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Item 12. Security Ownership of Certain Beneficial Owners and Management and Related Stockholder Matters</w:t>
        </w:r>
      </w:hyperlink>
      <w:r>
        <w:rPr>
          <w:rFonts w:ascii="Times New Roman" w:cs="Times New Roman" w:eastAsia="Times New Roman" w:hAnsi="Times New Roman"/>
          <w:sz w:val="18"/>
          <w:szCs w:val="18"/>
          <w:u w:val="single" w:color="auto"/>
          <w:color w:val="0000EE"/>
        </w:rPr>
        <w:t xml:space="preserve"> </w:t>
      </w:r>
      <w:hyperlink w:anchor="page109">
        <w:r>
          <w:rPr>
            <w:rFonts w:ascii="Times New Roman" w:cs="Times New Roman" w:eastAsia="Times New Roman" w:hAnsi="Times New Roman"/>
            <w:sz w:val="18"/>
            <w:szCs w:val="18"/>
            <w:u w:val="single" w:color="auto"/>
            <w:color w:val="0000EE"/>
          </w:rPr>
          <w:t>Item 13. Certain Relationships and Related Transactions, and Director Independence</w:t>
        </w:r>
      </w:hyperlink>
      <w:r>
        <w:rPr>
          <w:rFonts w:ascii="Times New Roman" w:cs="Times New Roman" w:eastAsia="Times New Roman" w:hAnsi="Times New Roman"/>
          <w:sz w:val="18"/>
          <w:szCs w:val="18"/>
          <w:u w:val="single" w:color="auto"/>
          <w:color w:val="0000EE"/>
        </w:rPr>
        <w:t xml:space="preserve"> </w:t>
      </w:r>
      <w:hyperlink w:anchor="page110">
        <w:r>
          <w:rPr>
            <w:rFonts w:ascii="Times New Roman" w:cs="Times New Roman" w:eastAsia="Times New Roman" w:hAnsi="Times New Roman"/>
            <w:sz w:val="18"/>
            <w:szCs w:val="18"/>
            <w:u w:val="single" w:color="auto"/>
            <w:color w:val="0000EE"/>
          </w:rPr>
          <w:t>Item 14. Principal Accounting Fees and Services</w:t>
        </w:r>
      </w:hyperlink>
    </w:p>
    <w:p>
      <w:pPr>
        <w:ind w:left="40"/>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PART IV</w:t>
        </w:r>
      </w:hyperlink>
    </w:p>
    <w:p>
      <w:pPr>
        <w:spacing w:after="0" w:line="63"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Item 15. Exhibits and Financial Statement Schedules</w:t>
        </w:r>
      </w:hyperlink>
    </w:p>
    <w:p>
      <w:pPr>
        <w:spacing w:after="0" w:line="63"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Item 16. Form 10-K Summary</w:t>
        </w:r>
      </w:hyperlink>
    </w:p>
    <w:p>
      <w:pPr>
        <w:spacing w:after="0" w:line="63" w:lineRule="exact"/>
        <w:rPr>
          <w:rFonts w:ascii="Times New Roman" w:cs="Times New Roman" w:eastAsia="Times New Roman" w:hAnsi="Times New Roman"/>
          <w:sz w:val="18"/>
          <w:szCs w:val="18"/>
          <w:u w:val="single" w:color="auto"/>
          <w:color w:val="0000EE"/>
        </w:rPr>
      </w:pPr>
    </w:p>
    <w:p>
      <w:pPr>
        <w:ind w:left="40"/>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SIGNATURES</w:t>
        </w:r>
      </w:hyperlink>
    </w:p>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AGCO Corporation (“AGCO,” “we,” “us,” or the “Company”) was incorporated in Delaware in April 1991. Our executive offices are located at 4205 River Green Parkway, Duluth, Georgia 30096, and our telephone number is (770) 813-9200. Unless otherwise indicated, all references in this Form 10-K to the Company include our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We are a leading manufacturer and distributor of agricultural equipment and related replacement parts throughout the world. We sell a full range of agricultural equipment, including tractors, combines, self-propelled sprayers, hay tools, forage equipment, seeding and tillage equipment, implements, and grain storage and protein production systems. Our products are widely recognized in the agricultural equipment industry and are marketed under a number of well-known brands, including Challenger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Fendt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GSI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Valtra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We distribute most of our products through approximately 4,050 independent dealers and distributors in approximately 140 countries. In addition, we also provide retail and wholesale financing through our finance joint ventures with Coöperatieve Centrale Raiffeisen-Boerenleenbank B.A., which we refer to as “Rabobank.”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description of the Company’s products and their percentage of net sales:</w:t>
      </w:r>
    </w:p>
    <w:p>
      <w:pPr>
        <w:spacing w:after="0" w:line="232"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24765</wp:posOffset>
            </wp:positionV>
            <wp:extent cx="15005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1820" w:val="left"/>
          <w:tab w:leader="none" w:pos="9200" w:val="left"/>
          <w:tab w:leader="none" w:pos="10080" w:val="left"/>
          <w:tab w:leader="none" w:pos="10900" w:val="left"/>
        </w:tabs>
        <w:rPr>
          <w:sz w:val="20"/>
          <w:szCs w:val="20"/>
          <w:color w:val="auto"/>
        </w:rPr>
      </w:pPr>
      <w:r>
        <w:rPr>
          <w:rFonts w:ascii="Times New Roman" w:cs="Times New Roman" w:eastAsia="Times New Roman" w:hAnsi="Times New Roman"/>
          <w:sz w:val="14"/>
          <w:szCs w:val="14"/>
          <w:b w:val="1"/>
          <w:bCs w:val="1"/>
          <w:u w:val="single" w:color="auto"/>
          <w:color w:val="auto"/>
        </w:rPr>
        <w:t>Product</w:t>
      </w:r>
      <w:r>
        <w:rPr>
          <w:sz w:val="20"/>
          <w:szCs w:val="20"/>
          <w:color w:val="auto"/>
        </w:rPr>
        <w:tab/>
      </w:r>
      <w:r>
        <w:rPr>
          <w:rFonts w:ascii="Times New Roman" w:cs="Times New Roman" w:eastAsia="Times New Roman" w:hAnsi="Times New Roman"/>
          <w:sz w:val="14"/>
          <w:szCs w:val="14"/>
          <w:b w:val="1"/>
          <w:bCs w:val="1"/>
          <w:u w:val="single" w:color="auto"/>
          <w:color w:val="auto"/>
        </w:rPr>
        <w:t>Product Description</w:t>
      </w:r>
      <w:r>
        <w:rPr>
          <w:sz w:val="20"/>
          <w:szCs w:val="20"/>
          <w:color w:val="auto"/>
        </w:rPr>
        <w:tab/>
      </w: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8"/>
          <w:szCs w:val="8"/>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4"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14"/>
          <w:szCs w:val="14"/>
          <w:color w:val="auto"/>
        </w:rPr>
        <w:t>Tractors</w:t>
      </w:r>
      <w:r>
        <w:rPr>
          <w:sz w:val="20"/>
          <w:szCs w:val="20"/>
          <w:color w:val="auto"/>
        </w:rPr>
        <w:tab/>
      </w:r>
      <w:r>
        <w:rPr>
          <w:rFonts w:ascii="Times New Roman" w:cs="Times New Roman" w:eastAsia="Times New Roman" w:hAnsi="Times New Roman"/>
          <w:sz w:val="14"/>
          <w:szCs w:val="14"/>
          <w:color w:val="auto"/>
        </w:rPr>
        <w:t>• High horsepower tractors (100 to 650 horsepower); typically used on large acreage farms, primarily for row crop</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production, soil cultivation, planting, land leveling, seeding and commercial hay operations.</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 Utility tractors (40 to 100 horsepower); typically used on small- and medium-sized farms and in specialty agricultural</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industries, including dairy, livestock, orchards and vineyards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Compact tractors (under 40 horsepower); typically used on small farms and specialty agricultural industries, as well as for</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landscaping, equestrian and residential uses</w:t>
      </w:r>
    </w:p>
    <w:p>
      <w:pPr>
        <w:spacing w:after="0" w:line="26"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14"/>
          <w:szCs w:val="14"/>
          <w:color w:val="auto"/>
        </w:rPr>
        <w:t>Replacement Parts</w:t>
      </w:r>
      <w:r>
        <w:rPr>
          <w:sz w:val="20"/>
          <w:szCs w:val="20"/>
          <w:color w:val="auto"/>
        </w:rPr>
        <w:tab/>
      </w:r>
      <w:r>
        <w:rPr>
          <w:rFonts w:ascii="Times New Roman" w:cs="Times New Roman" w:eastAsia="Times New Roman" w:hAnsi="Times New Roman"/>
          <w:sz w:val="14"/>
          <w:szCs w:val="14"/>
          <w:color w:val="auto"/>
        </w:rPr>
        <w:t>• Replacement parts for all of the products we sell, including products no longer in production. Most of our products can be</w:t>
      </w:r>
    </w:p>
    <w:p>
      <w:pPr>
        <w:spacing w:after="0" w:line="4" w:lineRule="exact"/>
        <w:rPr>
          <w:sz w:val="20"/>
          <w:szCs w:val="20"/>
          <w:color w:val="auto"/>
        </w:rPr>
      </w:pPr>
    </w:p>
    <w:p>
      <w:pPr>
        <w:ind w:left="1840" w:right="120"/>
        <w:spacing w:after="0" w:line="233" w:lineRule="auto"/>
        <w:rPr>
          <w:sz w:val="20"/>
          <w:szCs w:val="20"/>
          <w:color w:val="auto"/>
        </w:rPr>
      </w:pPr>
      <w:r>
        <w:rPr>
          <w:rFonts w:ascii="Times New Roman" w:cs="Times New Roman" w:eastAsia="Times New Roman" w:hAnsi="Times New Roman"/>
          <w:sz w:val="14"/>
          <w:szCs w:val="14"/>
          <w:color w:val="auto"/>
        </w:rPr>
        <w:t>economically maintained with parts and service for a period of ten to 20 years. Our parts inventories are maintained and distributed through a network of master and regional warehouses throughout North America, South America, Europe, Africa, China and Australia in order to provide timely response to customer demand for replacement parts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800" w:val="left"/>
          <w:tab w:leader="none" w:pos="1620" w:val="left"/>
        </w:tabs>
        <w:rPr>
          <w:sz w:val="20"/>
          <w:szCs w:val="20"/>
          <w:color w:val="auto"/>
        </w:rPr>
      </w:pP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800" w:val="left"/>
          <w:tab w:leader="none" w:pos="162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16%</w:t>
      </w:r>
    </w:p>
    <w:p>
      <w:pPr>
        <w:spacing w:after="0" w:line="474" w:lineRule="exact"/>
        <w:rPr>
          <w:sz w:val="20"/>
          <w:szCs w:val="20"/>
          <w:color w:val="auto"/>
        </w:rPr>
      </w:pPr>
    </w:p>
    <w:p>
      <w:pPr>
        <w:sectPr>
          <w:pgSz w:w="11900" w:h="16838" w:orient="portrait"/>
          <w:cols w:equalWidth="0" w:num="2">
            <w:col w:w="8860" w:space="620"/>
            <w:col w:w="19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Grain Storage and Protein</w:t>
            </w:r>
          </w:p>
        </w:tc>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Grain storage bins and related drying and handling equipment systems; seed-processing systems; swine and poultry feed</w:t>
            </w:r>
          </w:p>
        </w:tc>
        <w:tc>
          <w:tcPr>
            <w:tcW w:w="8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10%</w:t>
            </w:r>
          </w:p>
        </w:tc>
        <w:tc>
          <w:tcPr>
            <w:tcW w:w="8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8"/>
        </w:trPr>
        <w:tc>
          <w:tcPr>
            <w:tcW w:w="1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Production Systems</w:t>
            </w: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storage and delivery, ventilation and watering systems; and egg production systems and broiler production equipment</w:t>
            </w: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53"/>
        </w:trPr>
        <w:tc>
          <w:tcPr>
            <w:tcW w:w="16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Hay Tools and Forage</w:t>
            </w:r>
          </w:p>
        </w:tc>
        <w:tc>
          <w:tcPr>
            <w:tcW w:w="7540" w:type="dxa"/>
            <w:vAlign w:val="bottom"/>
          </w:tcPr>
          <w:p>
            <w:pPr>
              <w:ind w:left="80"/>
              <w:spacing w:after="0" w:line="153" w:lineRule="exact"/>
              <w:rPr>
                <w:sz w:val="20"/>
                <w:szCs w:val="20"/>
                <w:color w:val="auto"/>
              </w:rPr>
            </w:pPr>
            <w:r>
              <w:rPr>
                <w:rFonts w:ascii="Times New Roman" w:cs="Times New Roman" w:eastAsia="Times New Roman" w:hAnsi="Times New Roman"/>
                <w:sz w:val="14"/>
                <w:szCs w:val="14"/>
                <w:color w:val="auto"/>
              </w:rPr>
              <w:t>• Round and rectangular balers, loader wagons, self-propelled windrowers, forage harvesters, disc mowers, spreaders, rakes,</w:t>
            </w:r>
          </w:p>
        </w:tc>
        <w:tc>
          <w:tcPr>
            <w:tcW w:w="840" w:type="dxa"/>
            <w:vAlign w:val="bottom"/>
          </w:tcPr>
          <w:p>
            <w:pPr>
              <w:jc w:val="right"/>
              <w:ind w:right="208"/>
              <w:spacing w:after="0" w:line="153" w:lineRule="exact"/>
              <w:rPr>
                <w:sz w:val="20"/>
                <w:szCs w:val="20"/>
                <w:color w:val="auto"/>
              </w:rPr>
            </w:pPr>
            <w:r>
              <w:rPr>
                <w:rFonts w:ascii="Times New Roman" w:cs="Times New Roman" w:eastAsia="Times New Roman" w:hAnsi="Times New Roman"/>
                <w:sz w:val="14"/>
                <w:szCs w:val="14"/>
                <w:color w:val="auto"/>
              </w:rPr>
              <w:t>12%</w:t>
            </w:r>
          </w:p>
        </w:tc>
        <w:tc>
          <w:tcPr>
            <w:tcW w:w="820" w:type="dxa"/>
            <w:vAlign w:val="bottom"/>
          </w:tcPr>
          <w:p>
            <w:pPr>
              <w:jc w:val="right"/>
              <w:ind w:right="208"/>
              <w:spacing w:after="0" w:line="153" w:lineRule="exact"/>
              <w:rPr>
                <w:sz w:val="20"/>
                <w:szCs w:val="20"/>
                <w:color w:val="auto"/>
              </w:rPr>
            </w:pPr>
            <w:r>
              <w:rPr>
                <w:rFonts w:ascii="Times New Roman" w:cs="Times New Roman" w:eastAsia="Times New Roman" w:hAnsi="Times New Roman"/>
                <w:sz w:val="14"/>
                <w:szCs w:val="14"/>
                <w:color w:val="auto"/>
              </w:rPr>
              <w:t>7%</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w:t>
            </w:r>
          </w:p>
        </w:tc>
      </w:tr>
      <w:tr>
        <w:trPr>
          <w:trHeight w:val="149"/>
        </w:trPr>
        <w:tc>
          <w:tcPr>
            <w:tcW w:w="16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Equipment, Implements</w:t>
            </w:r>
          </w:p>
        </w:tc>
        <w:tc>
          <w:tcPr>
            <w:tcW w:w="7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tedders, and mower conditioners; used for the harvesting and packaging of vegetative feeds used in the cattle, dairy, horse</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93"/>
        </w:trPr>
        <w:tc>
          <w:tcPr>
            <w:tcW w:w="1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&amp; Other Equipment</w:t>
            </w:r>
          </w:p>
        </w:tc>
        <w:tc>
          <w:tcPr>
            <w:tcW w:w="7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and renewable fuel industries</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58"/>
        </w:trPr>
        <w:tc>
          <w:tcPr>
            <w:tcW w:w="1640" w:type="dxa"/>
            <w:vAlign w:val="bottom"/>
            <w:shd w:val="clear" w:color="auto" w:fill="CCEEFF"/>
          </w:tcPr>
          <w:p>
            <w:pPr>
              <w:spacing w:after="0"/>
              <w:rPr>
                <w:sz w:val="13"/>
                <w:szCs w:val="13"/>
                <w:color w:val="auto"/>
              </w:rPr>
            </w:pPr>
          </w:p>
        </w:tc>
        <w:tc>
          <w:tcPr>
            <w:tcW w:w="7540" w:type="dxa"/>
            <w:vAlign w:val="bottom"/>
            <w:shd w:val="clear" w:color="auto" w:fill="CCEEFF"/>
          </w:tcPr>
          <w:p>
            <w:pPr>
              <w:ind w:left="80"/>
              <w:spacing w:after="0" w:line="158" w:lineRule="exact"/>
              <w:rPr>
                <w:sz w:val="20"/>
                <w:szCs w:val="20"/>
                <w:color w:val="auto"/>
              </w:rPr>
            </w:pPr>
            <w:r>
              <w:rPr>
                <w:rFonts w:ascii="Times New Roman" w:cs="Times New Roman" w:eastAsia="Times New Roman" w:hAnsi="Times New Roman"/>
                <w:sz w:val="14"/>
                <w:szCs w:val="14"/>
                <w:color w:val="auto"/>
              </w:rPr>
              <w:t>• Implements, including disc harrows, which cut through crop residue, leveling seed beds and mixing chemicals with the</w:t>
            </w: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9"/>
        </w:trPr>
        <w:tc>
          <w:tcPr>
            <w:tcW w:w="1640" w:type="dxa"/>
            <w:vAlign w:val="bottom"/>
            <w:shd w:val="clear" w:color="auto" w:fill="CCEEFF"/>
          </w:tcPr>
          <w:p>
            <w:pPr>
              <w:spacing w:after="0"/>
              <w:rPr>
                <w:sz w:val="12"/>
                <w:szCs w:val="12"/>
                <w:color w:val="auto"/>
              </w:rPr>
            </w:pPr>
          </w:p>
        </w:tc>
        <w:tc>
          <w:tcPr>
            <w:tcW w:w="7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soils; heavy tillage, which break up soil and mix crop residue into topsoil, with or without prior discing; field cultivators,</w:t>
            </w: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98"/>
        </w:trPr>
        <w:tc>
          <w:tcPr>
            <w:tcW w:w="1640" w:type="dxa"/>
            <w:vAlign w:val="bottom"/>
            <w:shd w:val="clear" w:color="auto" w:fill="CCEEFF"/>
          </w:tcPr>
          <w:p>
            <w:pPr>
              <w:spacing w:after="0"/>
              <w:rPr>
                <w:sz w:val="17"/>
                <w:szCs w:val="17"/>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which prepare a smooth seed bed and destroy weeds; and drills, which are primarily used for small grain seeding</w:t>
            </w: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3"/>
        </w:trPr>
        <w:tc>
          <w:tcPr>
            <w:tcW w:w="1640" w:type="dxa"/>
            <w:vAlign w:val="bottom"/>
          </w:tcPr>
          <w:p>
            <w:pPr>
              <w:spacing w:after="0"/>
              <w:rPr>
                <w:sz w:val="16"/>
                <w:szCs w:val="16"/>
                <w:color w:val="auto"/>
              </w:rPr>
            </w:pPr>
          </w:p>
        </w:tc>
        <w:tc>
          <w:tcPr>
            <w:tcW w:w="7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Planters and other planting equipment; used to plant seeds and apply fertilizer in the field, typically used for row crops</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78"/>
        </w:trPr>
        <w:tc>
          <w:tcPr>
            <w:tcW w:w="1640" w:type="dxa"/>
            <w:vAlign w:val="bottom"/>
          </w:tcPr>
          <w:p>
            <w:pPr>
              <w:spacing w:after="0"/>
              <w:rPr>
                <w:sz w:val="6"/>
                <w:szCs w:val="6"/>
                <w:color w:val="auto"/>
              </w:rPr>
            </w:pPr>
          </w:p>
        </w:tc>
        <w:tc>
          <w:tcPr>
            <w:tcW w:w="7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93"/>
        </w:trPr>
        <w:tc>
          <w:tcPr>
            <w:tcW w:w="1640" w:type="dxa"/>
            <w:vAlign w:val="bottom"/>
            <w:shd w:val="clear" w:color="auto" w:fill="CCEEFF"/>
          </w:tcPr>
          <w:p>
            <w:pPr>
              <w:spacing w:after="0"/>
              <w:rPr>
                <w:sz w:val="16"/>
                <w:szCs w:val="16"/>
                <w:color w:val="auto"/>
              </w:rPr>
            </w:pPr>
          </w:p>
        </w:tc>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Other equipment, including loaders; used for a variety of tasks, including lifting and transporting hay crops</w:t>
            </w: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78"/>
        </w:trPr>
        <w:tc>
          <w:tcPr>
            <w:tcW w:w="1640" w:type="dxa"/>
            <w:vAlign w:val="bottom"/>
            <w:shd w:val="clear" w:color="auto" w:fill="CCEEFF"/>
          </w:tcPr>
          <w:p>
            <w:pPr>
              <w:spacing w:after="0"/>
              <w:rPr>
                <w:sz w:val="6"/>
                <w:szCs w:val="6"/>
                <w:color w:val="auto"/>
              </w:rPr>
            </w:pPr>
          </w:p>
        </w:tc>
        <w:tc>
          <w:tcPr>
            <w:tcW w:w="7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53"/>
        </w:trPr>
        <w:tc>
          <w:tcPr>
            <w:tcW w:w="16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Combines</w:t>
            </w:r>
          </w:p>
        </w:tc>
        <w:tc>
          <w:tcPr>
            <w:tcW w:w="7540" w:type="dxa"/>
            <w:vAlign w:val="bottom"/>
          </w:tcPr>
          <w:p>
            <w:pPr>
              <w:ind w:left="80"/>
              <w:spacing w:after="0" w:line="153" w:lineRule="exact"/>
              <w:rPr>
                <w:sz w:val="20"/>
                <w:szCs w:val="20"/>
                <w:color w:val="auto"/>
              </w:rPr>
            </w:pPr>
            <w:r>
              <w:rPr>
                <w:rFonts w:ascii="Times New Roman" w:cs="Times New Roman" w:eastAsia="Times New Roman" w:hAnsi="Times New Roman"/>
                <w:sz w:val="14"/>
                <w:szCs w:val="14"/>
                <w:color w:val="auto"/>
              </w:rPr>
              <w:t>• Combines, sold with a variety of threshing technologies and complemented by a variety of crop-harvesting heads;</w:t>
            </w:r>
          </w:p>
        </w:tc>
        <w:tc>
          <w:tcPr>
            <w:tcW w:w="840" w:type="dxa"/>
            <w:vAlign w:val="bottom"/>
          </w:tcPr>
          <w:p>
            <w:pPr>
              <w:jc w:val="right"/>
              <w:ind w:right="208"/>
              <w:spacing w:after="0" w:line="153" w:lineRule="exact"/>
              <w:rPr>
                <w:sz w:val="20"/>
                <w:szCs w:val="20"/>
                <w:color w:val="auto"/>
              </w:rPr>
            </w:pPr>
            <w:r>
              <w:rPr>
                <w:rFonts w:ascii="Times New Roman" w:cs="Times New Roman" w:eastAsia="Times New Roman" w:hAnsi="Times New Roman"/>
                <w:sz w:val="14"/>
                <w:szCs w:val="14"/>
                <w:color w:val="auto"/>
              </w:rPr>
              <w:t>3%</w:t>
            </w:r>
          </w:p>
        </w:tc>
        <w:tc>
          <w:tcPr>
            <w:tcW w:w="820" w:type="dxa"/>
            <w:vAlign w:val="bottom"/>
          </w:tcPr>
          <w:p>
            <w:pPr>
              <w:jc w:val="right"/>
              <w:ind w:right="208"/>
              <w:spacing w:after="0" w:line="153" w:lineRule="exact"/>
              <w:rPr>
                <w:sz w:val="20"/>
                <w:szCs w:val="20"/>
                <w:color w:val="auto"/>
              </w:rPr>
            </w:pPr>
            <w:r>
              <w:rPr>
                <w:rFonts w:ascii="Times New Roman" w:cs="Times New Roman" w:eastAsia="Times New Roman" w:hAnsi="Times New Roman"/>
                <w:sz w:val="14"/>
                <w:szCs w:val="14"/>
                <w:color w:val="auto"/>
              </w:rPr>
              <w:t>4%</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w:t>
            </w:r>
          </w:p>
        </w:tc>
      </w:tr>
      <w:tr>
        <w:trPr>
          <w:trHeight w:val="188"/>
        </w:trPr>
        <w:tc>
          <w:tcPr>
            <w:tcW w:w="1640" w:type="dxa"/>
            <w:vAlign w:val="bottom"/>
          </w:tcPr>
          <w:p>
            <w:pPr>
              <w:spacing w:after="0"/>
              <w:rPr>
                <w:sz w:val="16"/>
                <w:szCs w:val="16"/>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typically used in harvesting grain crops such as corn, wheat, soybeans and rice</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63"/>
        </w:trPr>
        <w:tc>
          <w:tcPr>
            <w:tcW w:w="1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Application Equipment</w:t>
            </w:r>
          </w:p>
        </w:tc>
        <w:tc>
          <w:tcPr>
            <w:tcW w:w="7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Self-propelled, three- and four-wheeled vehicles and related equipment; for use in the application of liquid and dry</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49"/>
        </w:trPr>
        <w:tc>
          <w:tcPr>
            <w:tcW w:w="1640" w:type="dxa"/>
            <w:vAlign w:val="bottom"/>
          </w:tcPr>
          <w:p>
            <w:pPr>
              <w:spacing w:after="0"/>
              <w:rPr>
                <w:sz w:val="12"/>
                <w:szCs w:val="12"/>
                <w:color w:val="auto"/>
              </w:rPr>
            </w:pPr>
          </w:p>
        </w:tc>
        <w:tc>
          <w:tcPr>
            <w:tcW w:w="7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fertilizers and crop protection chemicals both prior to planting crops (“pre-emergence”) and after crops emerge from the</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8"/>
        </w:trPr>
        <w:tc>
          <w:tcPr>
            <w:tcW w:w="1640" w:type="dxa"/>
            <w:vAlign w:val="bottom"/>
          </w:tcPr>
          <w:p>
            <w:pPr>
              <w:spacing w:after="0"/>
              <w:rPr>
                <w:sz w:val="16"/>
                <w:szCs w:val="16"/>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ground (“post-emergence”)</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summation of these individual percentages does not total due to rounding.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distribute products primarily through a network of independent dealers and distributors. Our dealers are responsible for retail sales of equipment to end users and after-sales service and support. Our distributors may sell our products through networks of dealers supported by the distributors, and our distributors also may directly market our products and provide customer service support. Our sales are not dependent on any specific dealer, distributor or group of dealers.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some countries, we utilize associates and licensees to provide a distribution channel for our products and a source of low-cost production for certain Massey Ferguson and Valtra products. Associates are entities in which we have an ownership interest, most notably in India. Licensees are entities in which we have no ownership interest. The associate or licensee generally has the exclusive right to produce and sell Massey Ferguson or Valtra equipment in its licensed territory under such tradenames, but may not sell these products outside the licensed territory. We generally license certain technology to these licensees and associates, and we may sell them certain components used in local manufacturing operations.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Independent Dealers and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Distributors</w:t>
            </w:r>
          </w:p>
        </w:tc>
        <w:tc>
          <w:tcPr>
            <w:tcW w:w="21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Percent of Net Sales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Geographical region</w:t>
            </w:r>
          </w:p>
        </w:tc>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800" w:type="dxa"/>
            <w:vAlign w:val="bottom"/>
            <w:gridSpan w:val="3"/>
            <w:vMerge w:val="continue"/>
          </w:tcPr>
          <w:p>
            <w:pPr>
              <w:spacing w:after="0"/>
              <w:rPr>
                <w:sz w:val="17"/>
                <w:szCs w:val="17"/>
                <w:color w:val="auto"/>
              </w:rPr>
            </w:pPr>
          </w:p>
        </w:tc>
        <w:tc>
          <w:tcPr>
            <w:tcW w:w="2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17"/>
                <w:szCs w:val="17"/>
                <w:color w:val="auto"/>
              </w:rPr>
            </w:pPr>
          </w:p>
        </w:tc>
        <w:tc>
          <w:tcPr>
            <w:tcW w:w="860" w:type="dxa"/>
            <w:vAlign w:val="bottom"/>
          </w:tcPr>
          <w:p>
            <w:pPr>
              <w:jc w:val="right"/>
              <w:ind w:right="92"/>
              <w:spacing w:after="0" w:line="197" w:lineRule="exact"/>
              <w:rPr>
                <w:sz w:val="20"/>
                <w:szCs w:val="20"/>
                <w:color w:val="auto"/>
              </w:rPr>
            </w:pPr>
            <w:r>
              <w:rPr>
                <w:rFonts w:ascii="Times New Roman" w:cs="Times New Roman" w:eastAsia="Times New Roman" w:hAnsi="Times New Roman"/>
                <w:sz w:val="16"/>
                <w:szCs w:val="16"/>
                <w:b w:val="1"/>
                <w:bCs w:val="1"/>
                <w:color w:val="auto"/>
              </w:rPr>
              <w:t>2018</w:t>
            </w:r>
            <w:r>
              <w:rPr>
                <w:rFonts w:ascii="Times New Roman" w:cs="Times New Roman" w:eastAsia="Times New Roman" w:hAnsi="Times New Roman"/>
                <w:sz w:val="22"/>
                <w:szCs w:val="22"/>
                <w:b w:val="1"/>
                <w:bCs w:val="1"/>
                <w:color w:val="auto"/>
                <w:vertAlign w:val="superscript"/>
              </w:rPr>
              <w:t>(1)</w:t>
            </w:r>
          </w:p>
        </w:tc>
        <w:tc>
          <w:tcPr>
            <w:tcW w:w="100" w:type="dxa"/>
            <w:vAlign w:val="bottom"/>
          </w:tcPr>
          <w:p>
            <w:pPr>
              <w:spacing w:after="0"/>
              <w:rPr>
                <w:sz w:val="17"/>
                <w:szCs w:val="17"/>
                <w:color w:val="auto"/>
              </w:rPr>
            </w:pPr>
          </w:p>
        </w:tc>
        <w:tc>
          <w:tcPr>
            <w:tcW w:w="86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200" w:type="dxa"/>
            <w:vAlign w:val="bottom"/>
            <w:tcBorders>
              <w:bottom w:val="single" w:sz="8" w:color="CCEEFF"/>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1,875</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 America</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7"/>
        </w:trPr>
        <w:tc>
          <w:tcPr>
            <w:tcW w:w="580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5"/>
                <w:szCs w:val="25"/>
                <w:color w:val="auto"/>
                <w:vertAlign w:val="superscript"/>
              </w:rPr>
              <w:t>(2)</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8"/>
        </w:trPr>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summation of these individual percentages does not total due to rounding.</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approximately 57 countries in Africa, the Middle East, Australia and Asia.</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Dealer Support and Supervision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one of the most important criteria affecting a farmer’s decision to purchase a particular brand of equipment is the quality of the dealer who sells and services the equipment. We support our dealers in order to improve the quality of our dealer network. We monitor each dealer’s performance and profitability and establish programs that focus on continuous dealer improvement. Our dealers generally have sales territories for which they are responsible.</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ability to offer our dealers a full product line of agricultural equipment and related replacement parts, as well as our ongoing dealer training and support programs focusing on business and inventory management, sales, marketing, warranty and servicing matters and products, help ensure the vitality and increase the competitiveness of our dealer network. We also maintain dealer advisory groups to obtain dealer feedback on our operations.</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provide our dealers with volume sales incentives, demonstration programs and other advertising support to assist sales. We design our sales programs, including retail financing incentives, and our policies for maintaining parts and service availability with extensive product warranties, to enhance our dealers’ competitive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Assembly</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We manufacture and assemble our products in 48 locations worldwide, including six locations where we operate joint ventures. Our locations are intended to optimize capacity, technology or local costs. Furthermore, we continue to balance our manufacturing resources with externally-sourced machinery, components and/or replacement parts to enable us to better control costs, inventory levels and our supply of components. We believe that our manufacturing facilities are sufficient to meet our needs for the foreseeable future. Please refer to Item 2, “Properties,” where a listing of our principal manufacturing locations is presented.</w:t>
      </w:r>
    </w:p>
    <w:p>
      <w:pPr>
        <w:spacing w:after="0" w:line="18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AGCO Power engines division produces diesel engines, gears and generating sets. The diesel engines are manufactured for use in a portion of our tractors, combines and sprayers, and also are sold to third parties. AGCO Power specializes in the manufacturing of off-road engines in the 75 to 600 horsepower range.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Suppliers</w:t>
      </w:r>
    </w:p>
    <w:p>
      <w:pPr>
        <w:spacing w:after="0" w:line="229"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7"/>
          <w:szCs w:val="17"/>
          <w:color w:val="auto"/>
        </w:rPr>
        <w:t>We externally source some of our machinery, components and replacement parts from third-party suppliers. Our production strategy is intended to optimize our research and development and capital investment requirements and to allow us greater flexibility to respond to changes in market conditions.</w:t>
      </w:r>
    </w:p>
    <w:p>
      <w:pPr>
        <w:spacing w:after="0" w:line="13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purchase some fully-manufactured tractors from Tractors and Farm Equipment Limited (“TAFE”), Carraro S.p.A. and Iseki &amp; Company, Limited. We also purchase other tractors, implements and hay and forage equipment from various third-party suppliers. Refer to “Related Parties” within Item 7, “Management’s Discussion and Analysis of Financial Condition and Results of Operations,” for further discussion of our relationship with TAFE.</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purchase of machinery, third-party suppliers supply us with significant components used in our manufacturing operations. We select third-party suppliers that we believe are low cost, high quality and possess the most appropriate technology.</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also assist in the development of these products or component parts based upon our own design requirements. Our past experience with outside suppliers generally has been favorable.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Generally, retail sales by dealers to farmers are highly seasonal and are a function of the timing of the planting and harvesting seasons. To the extent practicable, we attempt to ship products to our dealers and distributors on a level basis throughout the year to reduce the effect of seasonal retail demands on our manufacturing operations and to minimize our investment in inventory. Our financing requirements are subject to variations due to seasonal changes in working capital levels, which typically increase in the first half of the year and then decrease in the second half of the year. The fourth quarter is also typically a period for higher retail sales because of our customers’ year-end tax planning considerations, the increase in the availability of funds from completed harvests and the timing of dealer incentives.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agricultural industry is highly competitive. We compete with several large national and international full-line suppliers, as well as numerous short-line and specialty manufacturers with differing manufacturing and marketing methods. Our two principal competitors on a worldwide basis are Deere &amp; Company and CNH Industrial N.V. We have regional competitors around the world that have significant market share in a single country or a group of countries.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several key factors influence a buyer’s choice of farm equipment, including the strength and quality of a company’s dealers, the quality and pricing of products, dealer or brand loyalty, product availability, terms of financing and customer service. See “Marketing and Distribution”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Research</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make significant expenditures for engineering and applied research to improve the quality and performance of our products, to develop new products and to comply with government safety and engine emissions regulations.</w:t>
      </w:r>
    </w:p>
    <w:p>
      <w:pPr>
        <w:spacing w:after="0" w:line="162"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In addition, we also offer a variety of precision farming technologies that provide farmers with the capability to enhance productivity and profitability on the farm. These technologies are installed in our products and include satellite-based steering, field data collection, yield mapping and telemetry-based fleet management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Financing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Primarily in the United States and Canada, we engage in the standard industry practice of providing dealers with floor plan payment terms for their inventories of farm equipment for extended periods, generally through our AGCO Finance joint ventures. The terms of our wholesale finance agreements with our dealers vary by region and product line, with fixed payment schedules on all sales, generally ranging from one to 12 months. In the United States and Canada, dealers typically are not required to make an initial down payment, and our terms allow for an interest-free period generally ranging from one to</w:t>
      </w:r>
    </w:p>
    <w:p>
      <w:pPr>
        <w:spacing w:after="0" w:line="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12 months, depending on the product. Amounts due from sales to dealers in the United States and Canada are immediately due upon a retail sale of the underlying equipment by the dealer, with the exception of sales of grain storage and protein production systems, as discussed further below. If not previously paid by the dealer, installment payments generally are required beginning after the interest-free period with the remaining outstanding equipment balance generally due within 12 months after shipment.</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limited circumstances, we provide sales terms, and in some cases, interest-free periods that are longer than 12 months for certain products. These typically are specified programs, predominantly in the United States and Canada, where interest is charged after a period of up to 24 months, depending on the year of the sale and the dealer or distributor ordering or their sales volume during the preceding year. We also provide financing to dealers on used equipment accepted in trade. We generally obtain a security interest in the new and used equipment we finance.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Typically, sales terms outside the United States and Canada are of a shorter duration, generally ranging from 30 to 180 days. In many cases, we retain a security interest in the equipment sold on extended terms. In certain international markets, our sales are generally backed by letters of credit or credit insurance.</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Sales of grain storage and protein production systems both in the United States and in other countries generally are payable within 30 days of shipment. In certain countries, sales of such systems for which the Company is responsible for construction or installation may be contingent upon customer acceptance. Payment terms vary by market and product, with fixed payment schedules on all sales.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have an agreement to permit transferring, on an ongoing basis, a majority of our wholesale receivables in North America, Europe and Brazil to our AGCO Finance joint ventures in the United States, Canada, Europe and Brazil. Upon transfer, the wholesale receivables maintain standard payment terms, including required regular principal payments on amounts outstanding and interest charges at market rates. Qualified dealers may obtain additional financing through our U.S., Canadian, European and Brazilian finance joint ventures at the joint ventures’ discretion. In addition, AGCO Finance joint ventures may provide wholesale financing directly to dealers in Europe, Brazil and Australia.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Financing</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AGCO Finance joint ventures offer financing to most of the end users of our products. Besides contributing to our overall profitability, the AGCO Finance joint ventures can enhance our sales efforts by tailoring retail finance programs to prevailing market conditions. Our finance joint ventures are located in the United States, Canada, Europe, Brazil, Argentina and Australia and are owned by AGCO and by a wholly-owned subsidiary of Rabobank. Refer to “Finance Joint Ventures” within Item 7, “Management’s Discussion and Analysis of Financial Condition and Results of Operations,” for further information.</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Rabobank is the primary lender with respect to our credit facility and our senior term loan, as are more fully described in “Liquidity and Capital Resources” within Item 7, “Management’s Discussion and Analysis of Financial Condition and Results of Operations.” Our historical relationship with Rabobank has been strong, and we anticipate its continued long-term support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We own and have licenses to the rights under a number of domestic and foreign patents, trademarks, trade names and brand names relating to our products and businesses. We defend our patent, trademark and trade and brand name rights primarily by monitoring competitors’ machines and industry publications and conducting other investigative work. We consider our intellectual property rights, including our right to use our trade and brand names, important in the operation of our businesses. However, we do not believe we are dependent on any single patent, trademark, trade name, brand name or group of patents or trademarks, trade names or brand names. We intend to maintain the separate strengths and identities of our core brand names and product lines.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Regulation</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environmental laws and regulations concerning emissions to the air, discharges of processed or other types of wastewater, and the generation, handling, storage, transportation, treatment and disposal of waste materials. These laws and regulations are constantly changing, and the effects that they may have on us in the future are impossible to predict with accuracy. It is our policy to comply with all applicable environmental, health and safety laws and regulations, and we believe that any expense or liability we may incur in connection with any noncompliance with any law or regulation or the cleanup of any of our properties will not have a materially adverse effect on us.</w:t>
      </w:r>
    </w:p>
    <w:p>
      <w:pPr>
        <w:spacing w:after="0" w:line="184"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engines manufactured by our AGCO Power engine division, which specializes in the manufacturing of non-road engines in the 75 to 600 horsepower range, currently comply with emissions standards and related requirements set by European, Brazilian and U.S. regulatory authorities, including both the United States Environmental Protection Agency and various state authorities. We expect to meet future emissions requirements through the introduction of new technology to our engines and exhaust after-treatment systems, as necessary. In some markets (such as the United States), we must obtain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governmental environmental approvals in order to import our products, and these approvals can be difficult or time-consuming to obtain or may not be obtainable at all. For example, our AGCO Power engine division and our engine suppliers are subject to air quality standards, and production at our facilities could be impaired if AGCO Power and these suppliers are unable to timely respond to any changes in environmental laws and regulations affecting engine emissions, including the emissions of greenhouse gases ("GHG"). Compliance with environmental and safety regulations has added, and will continue to add, to the cost of our products and increase the capital-intensive nature of our business.</w:t>
      </w:r>
    </w:p>
    <w:p>
      <w:pPr>
        <w:spacing w:after="0" w:line="18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Climate change, as a result of emissions of GHG, is a significant topic of discussion and may generate U.S. and other regulatory responses. It is impracticable to predict with any certainty the impact on our business of climate change or the regulatory responses to it, although we recognize that they could be significant. The most direct impacts are likely to be an increase in energy costs, which would increase our operating costs (through increased utility and transportation costs) and an increase in the costs of the products we purchase from others. In addition, increased energy costs for our customers could impact demand for our equipment. It is too soon for us to predict with any certainty the ultimate impact of additional regulation, either directionally or quantitatively, on our overall business, results of operations or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Government Policy</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Domestic and foreign political developments and government regulations and policies directly affect the agricultural industry and indirectly affect the agricultural equipment business in the United States and abroad. The application, modification or adoption of laws, regulations or policies could have an adverse effect on our business.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manufacturing facilities or other physical presence in approximately 32 countries and sell our products in approximately 140 countries. This subjects us to a range of trade, product, foreign exchange, employment, tax and other laws and regulations, in addition to the environmental regulations discussed previously, in a significant number of jurisdictions. Many jurisdictions and a variety of laws regulate the contractual relationships with our dealers. These laws impose substantive standards on the relationships between us and our dealers, including events of default, grounds for termination, non-renewal of dealer contracts and equipment repurchase requirements. Such laws could adversely affect our ability to terminate our dealers.</w:t>
      </w:r>
    </w:p>
    <w:p>
      <w:pPr>
        <w:spacing w:after="0" w:line="18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each of the jurisdictions within which we operate or sell products has an important interest in the success of its agricultural industry and the consistency of the availability of reasonably priced food sources. These interests result in active political involvement in the agricultural industry, which, in turn, can impact our business in a variety of ways.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we employed approximately 21,200 employees, including approximately 4,700 employees in the United States and Canada. A majority of our employees at our manufacturing facilities, both domestic and international, are represented by collective bargaining agreements and union contracts with terms that expire on varying dates. We currently do not expect any significant difficulties in renewing these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www.agcocorp.com</w:t>
      </w:r>
      <w:r>
        <w:rPr>
          <w:rFonts w:ascii="Times New Roman" w:cs="Times New Roman" w:eastAsia="Times New Roman" w:hAnsi="Times New Roman"/>
          <w:sz w:val="18"/>
          <w:szCs w:val="18"/>
          <w:color w:val="auto"/>
        </w:rPr>
        <w:t>. We make the following reports filed by us available, free of charge, on our website under the heading “SEC Filings” in our website’s “Investors” section:</w:t>
      </w:r>
    </w:p>
    <w:p>
      <w:pPr>
        <w:spacing w:after="0" w:line="5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statements for the annual meetings of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SD;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3, 4 and 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reports are made available on our website as soon as practicable after they are filed with the Securities and Exchange Commission (“SEC”). The SEC also maintains a website (www.sec.gov) that contains our reports and other information filed with the SEC.</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provide corporate governance and other information on our website. This information includes:</w:t>
      </w:r>
    </w:p>
    <w:p>
      <w:pPr>
        <w:spacing w:after="0" w:line="117" w:lineRule="exact"/>
        <w:rPr>
          <w:sz w:val="20"/>
          <w:szCs w:val="20"/>
          <w:color w:val="auto"/>
        </w:rPr>
      </w:pPr>
    </w:p>
    <w:p>
      <w:pPr>
        <w:ind w:left="980" w:hanging="324"/>
        <w:spacing w:after="0" w:line="313"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charters for the standing committees of our board of directors, which are available under the heading “Charters of the Committees of the Board” in the “Governance, Committees, &amp; Charters” section of the “Corporate Governance” section of our website located under “Investors,” and</w:t>
      </w:r>
    </w:p>
    <w:p>
      <w:pPr>
        <w:spacing w:after="0" w:line="30" w:lineRule="exact"/>
        <w:rPr>
          <w:rFonts w:ascii="Times New Roman" w:cs="Times New Roman" w:eastAsia="Times New Roman" w:hAnsi="Times New Roman"/>
          <w:sz w:val="17"/>
          <w:szCs w:val="17"/>
          <w:color w:val="auto"/>
        </w:rPr>
      </w:pPr>
    </w:p>
    <w:p>
      <w:pPr>
        <w:ind w:left="980" w:right="3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Code of Conduct, which is available under the heading “Global Code of Conduct” in the “Corporate Governance” section of our website located under “Investors.”</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in the event of any waivers of our Global Code of Conduct, those waivers will be available under the heading “Corporate Governance” of our website. None of these materials, including the other materials available on our website, is incorporated by reference into this Form 10-K unless expressly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121" w:right="2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make forward-looking statements in this report, in other materials we file with the SEC or otherwise release to the public and on our website. In addition, our senior management makes forward-looking statements orally to analysts, investors, the media and others. Statements, including the statements contained in Item 7, “Management’s Discussion and Analysis of Financial Condition and Results of Operations,” concerning our future operations, prospects, strategies, products, manufacturing facilities, legal proceedings, financial condition, financial performance (including growth and earnings) and demand for our products and services, and other statements of our plans, beliefs or expectations, net sales, industry conditions, currency translation impacts, market demand, farm incomes, weather conditions, commodity prices, general economic conditions, availability of financing, working capital, capital expenditures, debt service requirements, margins, production volumes, cost reduction initiatives, investments in product development, compliance with financial covenants, support from lenders, recovery of amounts under guarantee, uncertain income tax provisions, funding of our pension and postretirement benefit plans, or realization of net deferred tax assets, are forward-looking statements. The forward-looking statements we make are not guarantees of future performance and are subject to various assumptions, risks and other factors that could cause actual results to differ materially from those suggested by the forward-looking statements. These factors include, among others, those set forth below and in the other documents that we file with the SEC. There also are other factors that we may not describe, generally because we currently do not perceive them to be material, or likely to become material, that could cause actual results to differ materially from our expectations.</w:t>
      </w:r>
    </w:p>
    <w:p>
      <w:pPr>
        <w:spacing w:after="0" w:line="1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These risks could impact our business in a number of ways, including by negatively impacting our future results of operations, cash flows and financial condition. For simplicity, below we collectively refer to these impacts as our “performance.”</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expressly disclaim any obligation to update or revise any forward-looking statements, whether as a result of new information, future events or otherwise, except as required by law.</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depend entirely upon the agricultural industry, and factors that adversely affect the agricultural industry generally, including declines in the general economy, increases in farm input costs, weather conditions, lower commodity prices and changes in the availability of financing for our dealers and their retail customers, will adversely affect us.</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entirely on the vitality of the agricultural industry. Historically, the agricultural industry has been cyclical and subject to a variety of economic and other factors. Sales of agricultural equipment, in turn, is also cyclical and generally are related to the economic health of the agricultural industry. The health of the agricultural industry is affected by numerous factors, including farm income, farm input costs, land values and debt levels, all of which are influenced by levels of commodity prices, acreage planted, crop yields, agricultural product demand (including crops used as renewable energy sources), government policies and government subsidies. Sales also are influenced by economic conditions, interest rate and exchange rate levels, and the availability of financing for retail customers, including financing subsidies to farmers. Trends in the industry, such as farm consolidations, may affect the agricultural equipment market. In addition, weather conditions, such as floods, heat waves or droughts, and pervasive livestock or crop diseases can affect farmers’ buying decisions. Downturns in the agricultural industry due to these or other factors, which could vary by market, are likely to result in decreases in demand for agricultural equipment, which would adversely affect our sales, growth, results of operations and financial condition. Moreover, the unpredictable nature of many of these factors and the resulting volatility in demand make it difficult for us to accurately predict sales and optimize production. This, in turn, can result in higher costs, including inventory carrying costs and underutilized manufacturing capacity. During previous downturns in the farm sector, we experienced significant and prolonged declines in our performance, and we expect our business to remain subject to similar market fluctuations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agricultural equipment industry is highly seasonal, and seasonal fluctuations significantly impact our performance.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agricultural equipment business is highly seasonal, which causes our quarterly results and our cash flow to fluctuate during the year. Farmers generally purchase agricultural equipment in the Spring and Fall in conjunction with the major planting and harvesting seasons. In addition, the fourth quarter typically is a significant period for retail sales because of year-end tax planning considerations, the increase in availability of funds from completed harvests and the timing of dealer incentives. Our net sales and income from operations historically have been the lowest in the first quarter and have increased in subsequent quarters as dealers anticipate increased retail sales in subsequent quarters.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Most of our sales depend on the availability of retail customers obtaining financing, and any disruption in their ability to obtain financing, whether due to economic downturns or otherwise, will result in the sale of fewer products by us. In addition, the collectability of receivables that are created from our sales, as well as from such retail financing, is critical to our business.</w:t>
      </w:r>
    </w:p>
    <w:p>
      <w:pPr>
        <w:spacing w:after="0" w:line="1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Most retail sales of our products are financed, either by AGCO Finance joint ventures or by a bank or other private lender. Our AGCO Finance joint ventures, which are controlled by Rabobank and are dependent upon Rabobank for financing as well, finance approximately 40% to 50% of the retail sales of our tractors and combines in the markets where the joint ventures operate. Any difficulty by Rabobank in continuing to provide that financing, or any business decision by Rabobank as the controlling member not to fund the business or particular aspects of it (for example, a particular country or region), would require the joint ventures to find other sources of financing (which may be difficult to obtain) or would require us to find other sources of retail financing for our dealers and their retail customers, or our dealers and their retail customers would be required to utilize other retail financing providers. In an economic downturn, we expect that financing for capital equipment purchases generally would become more difficult or more expensive to obtain. To the extent that financing is not available, or available only at unattractive prices, our sales would be negatively impacted.</w:t>
      </w:r>
    </w:p>
    <w:p>
      <w:pPr>
        <w:spacing w:after="0" w:line="18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Both AGCO and our AGCO Finance joint ventures have substantial accounts receivable from dealers and retail customers, and we both would be adversely impacted if the collectability of these receivables was not consistent with historical experience. This collectability is dependent on the financial strength of the farm industry, which in turn is dependent upon the general economy and commodity prices, as well as several of the other factors discussed in this “Risk Factors” section. In addition, the AGCO Finance joint ventures may experience credit losses that exceed expectations and adversely affect their financial condition and results of operations. The finance joint ventures may also experience residual value losses that exceed expectations caused by lower pricing for used equipment and higher than expected returns at lease maturity. To the extent that defaults and losses are higher than expected, our equity in the net earnings of the finance joint ventures would be less, or there could be losses, which could materially impact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introduction of new products, which requires substantial expenditures.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long-term results depend upon our ability to introduce and market new products successfully. The success of our new products will depend on a number of factors, including:</w:t>
      </w:r>
    </w:p>
    <w:p>
      <w:pPr>
        <w:spacing w:after="0" w:line="54"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of our suppliers in providing component parts and of our manufacturing facilities in producing final products;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quality of our products relative to those of our competitors.</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both we and our competitors continuously introduce new products or refine versions of existing products, we cannot predict the level of market acceptance or the amount of market share our new products will achieve. We have experienced delays in the introduction of new products in the past, and we may experience delays in the future. Any delays or other problems with our new product launches will adversely affect our performance. In addition, introducing new products can result in decreases in revenues from our existing products. Consistent with our strategy of offering new products and product refinements, we expect to make substantial investments in product development and refinement. We may need more funding for product development and refinement than is readily available, which could adversely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plans in emerging markets entail significant risks.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strategy includes establishing a greater manufacturing and/or marketing presence in emerging markets such as China, Africa and Russia. In addition, we have been expanding our use of component suppliers in these markets. As we progress with these efforts, it will involve a significant investment of capital and other resources and entail various risks. These include risks attendant to obtaining necessary governmental approvals and the construction of the facilities in a timely manner and within cost estimates, the establishment of supply channels, the commencement of efficient manufacturing operations, and, ultimately, the acceptance of the products by retail customers. While we expect the expansion to be successful, should we encounter difficulties involving these or similar factors, it may not be as successful as we anticipate.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we are unable to compete successfully against other agricultural equipment manufacturers, we will lose dealers and their retail customers and our net sales and profitability will decline.</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agricultural equipment business is highly competitive, particularly in our major markets. Our two key competitors, Deere &amp; Company and CNH Industrial N.V., are substantially larger than we are and have greater financial and other resources. In addition, in some markets, we compete with smaller regional competitors with significant market share in a single country or group of countries. Our competitors may substantially increase the resources devoted to the development and marketing, including discounting, of products that compete with our products. In addition, competitive pressures in the agricultural equipment business may affect the market prices of new and used equipment, which, in turn, may adversely affect our performance.</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an independent dealer and distribution network in the markets where we sell products. The financial and operational capabilities of our dealers and distributors are critical to our ability to compete in these markets. In addition, we compete with other manufacturers of agricultural equipment for dealers. If we are unable to compete successfully against other agricultural equipment manufacturers, we could lose dealers and their retail customers and performance may decline.</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Rationalization or restructuring of manufacturing facilities, and plant expansions and system upgrades at our manufacturing facilities, may cause production capacity constraints and inventory fluctuations.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rationalization of our manufacturing facilities has at times resulted in, and similar rationalizations or restructurings in the future may result in, temporary constraints upon our ability to produce the quantity of products necessary to fill orders and thereby complete sales in a timely manner. In addition, system upgrades at our manufacturing facilities that impact ordering, production scheduling, manufacturing and other related processes are complex, and could impact or delay production. A prolonged delay in our ability to fill orders on a timely basis could affect customer demand for our products and increase the size of our product inventories, causing future reductions in our manufacturing schedules and adversely affecting our performance. Moreover, our continuous development and production of new products often involves the retooling of existing manufacturing facilities. This retooling may limit our production capacity at certain times in the future, which could adversely affect our performance. In addition, the expansion and reconfiguration of existing manufacturing facilities, as well as the start-up of new manufacturing operations in emerging markets, such as China and Russia, could increase the risk of production delays, as well as require significant investments.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We also are subject to raw material price fluctuations, which can adversely affect our manufacturing costs.</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products include components and parts manufactured by others. As a result, our ability to timely and efficiently manufacture existing products, to introduce new products and to shift manufacturing of products from one facility to another depends on the quality of these components and parts and the timeliness of their delivery to our facilities. At any particular time, we depend on many different suppliers, and the failure by one or more of our suppliers to perform as needed will result in fewer products being manufactured, shipped and sold. If the quality of the components or parts provided by our suppliers is less than required and we do not recognize that failure prior to the shipment of our products, we will incur higher warranty costs. The timely supply of component parts for our products also depends on our ability to manage our relationships with suppliers, to identify and replace suppliers that fail to meet our schedules or quality standards, and to monitor the flow of components and accurately project our needs. The shift from our existing suppliers to new suppliers, including suppliers in emerging markets, also may impact the quality and efficiency of our manufacturing capabilities, as well as warranty costs.</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Changes in the prices of certain raw materials, components and parts could result in production disruptions or increased costs and lower profits on the sale of our products. Changes in the availability and price of these raw materials, components and parts, which have fluctuated significantly in the past and are more likely to fluctuate during times of economic volatility, as well as regulatory instability or change in tariffs, can significantly increase the costs of production. This, in turn, could have a material negative effect on performance, particularly if, due to pricing considerations or other factors, we are unable to recover the increased costs through pricing from our dealers.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121"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majority of our sales and manufacturing take place outside the United States, and, as a result, we are exposed to risks related to foreign laws, taxes, economic conditions, labor supply and relations, political conditions and governmental policies as well as U.S. laws governing who we sell to and how we conduct business. These risks may delay or reduce our realization of value from our international operations.</w:t>
      </w:r>
    </w:p>
    <w:p>
      <w:pPr>
        <w:spacing w:after="0" w:line="17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 majority of our sales are derived from sales outside the United States. The foreign countries in which our sales are the greatest are Germany, France, Brazil, the United Kingdom, Finland and Canada. In addition, we have significant manufacturing operations in France, Germany, Brazil, Italy and Finland and have established manufacturing operations in emerging markets, such as China. Many of our sales involve products that are manufactured in one country and sold in a different country and therefore, our results of operations and financial condition will be adversely affected by adverse changes in laws, taxes and tariffs, trade restrictions, economic conditions, labor supply and relations, political conditions and governmental policies of the countries in which we conduct business. Our business practices in these foreign countries generally must comply with U.S. law, including limitations on where and to whom we may sell products and the Foreign Corrupt Practices Act (“FCPA”). We have a compliance program in place designed to reduce the likelihood of potential violations of these laws, but it is difficult to identify and prevent violations. Significant violations could subject us to fines and other penalties as well as increased compliance costs. Some of our international operations also are, or might become, subject to various risks that are not present in domestic operations, including restrictions on dividends and the repatriation of funds. Foreign developing markets may present special risks, such as unavailability of financing, inflation, slow economic growth, price controls and difficulties in complying with U.S. regulations.</w:t>
      </w:r>
    </w:p>
    <w:p>
      <w:pPr>
        <w:spacing w:after="0" w:line="193"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Domestic and foreign political developments and government regulations and policies directly affect the international agricultural industry, which affects the demand for agricultural equipment. If demand for agricultural equipment declines, our performance will be adversely affected. The application, modification or adoption of laws, regulations, trade agreements or policies adversely affecting the agricultural industry, including the imposition of import and export duties and quotas, expropriation and potentially burdensome taxation, could have an adverse effect on our business. Trade restrictions, including potential withdrawal from or modification of existing trade agreements, negotiation of new trade agreements, and imposition of new (and retaliatory) tariffs against certain countries or covering certain products, could limit our ability to capitalize on current and future growth opportunities in the international markets in which we operate and impair our ability to expand our business by offering new technologies, products and services. These changes also can impact the cost of the products we manufacture, including the cost of steel. These trade restrictions and changes in, or uncertainty surrounding, global trade policy may affect our competitive position.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health of the agricultural industry and the ability of our international dealers and retail customers to operate their businesses, in general, are affected by domestic and foreign government programs that provide economic support to farmers. As a result, farm income levels and the ability of farmers to obtain advantageous financing and other protections would be reduced to the extent that any such programs are curtailed or eliminated. Any such reductions likely would result in a decrease in demand for agricultural equipment. For example, a decrease or elimination of current price protections for commodities or of subsidy payments for farmers in the European Union, the United States, Brazil or elsewhere in South America could negatively impact the operations of farmers in those regions, and, as a result, our sales may decline if these farmers delay, reduce or cancel purchases of our products. In emerging markets, some of these (and other) risks can be greater than they might be elsewhere. In addition, in some cases, the financing provided by our joint ventures with Rabobank or by others is supported by a government subsidy or guarantee. The programs under which those subsidies and guarantees are provided generally are of limited duration and subject to renewal and contain various caps and other limitations. In some markets, for example Brazil, this support is quite significant. In the event the governments that provide this support elect not to renew these programs, and were financing not available on reasonable terms, whether through our joint ventures or otherwise, our performance would be negatively impacted.</w:t>
      </w:r>
    </w:p>
    <w:p>
      <w:pPr>
        <w:spacing w:after="0" w:line="19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multinational nature of our business and the acquisitions that we have made over time, our corporate and tax structures are complex, with a significant portion of our operations being held through foreign holding companies. As a result, it can be inefficient, from a tax perspective, for us to repatriate or otherwise transfer funds, and we may be subject to a greater level of tax-related regulation and reviews by multiple governmental units than would companies with a more simplified structure. In addition, our foreign and U.S. operations routinely sell products to, and license technology to other operations of ours. The pricing of these intra-company transactions is subject to regulation and review as well. While we make every effort to comply with all applicable tax laws, audits and other reviews by governmental units could result in our being required to pay additional taxes, interest and penalties.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political uncertainty in the United Kingdom and the European Union could disrupt our operations and adversely affect our performance.</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have significant operations in the United Kingdom. The United Kingdom’s intention to exit from the European Union, or Brexit, has caused significant political uncertainty in both the United Kingdom and the European Union. The impact of Brexit and the resulting turmoil on the political and economic future of the United Kingdom and the European Union is uncertain, and we may be adversely affected in ways we cannot currently anticipate. The ultimate effects of Brexit will depend on any agreements the United Kingdom makes to retain access to the European Union markets, and vice versa, either during a transitional period or more permanently. Brexit also may result in significant changes in the British regulatory environment, which would likely increase our compliance costs. We may find it more difficult to conduct business in the United Kingdom and the European Union, as Brexit may result in increased regulatory complexity, increased restrictions on the movement of capital, goods and personnel. Depending on the outcome of negotiations between the United Kingdom and the European Union regarding the terms of Brexit, we may decide to relocate or otherwise alter certain of our European or United Kingdom operations to respond to the new business, legal, regulatory, tax and trade environments. Brexit may adversely affect our relationships with our dealers and their retail customers, suppliers and employees and our performance could be adversely affected.</w:t>
      </w:r>
    </w:p>
    <w:p>
      <w:pPr>
        <w:spacing w:after="0" w:line="18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experience substantial and sustained volatility with respect to currency exchange rates and interest rates, which can adversely affect our reported results of operations and the competitiveness of our products.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conduct operations in a variety of currencies. Our production costs, profit margins and competitive position are affected by the strength of the currencies in countries where we manufacture or purchase goods relative to the strength of the currencies in countries where our products are sold. In addition, we are subject to currency exchange rate risk to the extent that our costs are denominated in currencies other than those in which we denominate sales and to risks associated with translating the financial statements of our foreign subsidiaries from local currencies into United States dollars. Similarly, changes in interest rates affect us by increasing or decreasing borrowing costs and finance income. Our most significant transactional foreign currency exposures are the Euro, the Brazilian real and the Canadian dollar in relation to the United States dollar, and the Euro in relation to the British pound. Where naturally offsetting currency positions do not occur, we attempt to manage these risks by economically hedging some, but not necessarily all, of our exposures through the use of foreign currency forward exchange or option contracts. As with all hedging instruments, there are risks associated with the use of foreign currency forward exchange or option contracts, interest rate swap agreements and other risk management contracts. While the use of such hedging instruments provides us with protection for a finite period of time from certain fluctuations in currency exchange and interest rates, when we hedge we forego part or all the benefits that might result from favorable fluctuations in currency exchange and interest rates. In addition, any default by the counterparties to these transactions could adversely affect us. Despite our use of economic hedging transactions, currency exchange rate or interest rate fluctuations may adversely affect our performance.</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July 2017, the Financial Conduct Authority in the UK, the governing body responsible for regulating the London Interbank Offered Rate (“LIBOR”), announced that it no longer will compel or persuade financial institutions and panel banks to make LIBOR submissions after 2021. This decision is expected to result in the end of the use of LIBOR as a reference rate for commercial loans and other indebtedness. We have both LIBOR-denominated and EURIBOR-denominated indebtedness or derivative instruments. The transition to alternatives to LIBOR could be modestly disruptive to the credit markets, and while we do not believe that the impact would be material to us, we do not have insight into what the impacts might be.</w:t>
      </w:r>
    </w:p>
    <w:p>
      <w:pPr>
        <w:spacing w:after="0" w:line="180" w:lineRule="exact"/>
        <w:rPr>
          <w:sz w:val="20"/>
          <w:szCs w:val="20"/>
          <w:color w:val="auto"/>
        </w:rPr>
      </w:pPr>
    </w:p>
    <w:p>
      <w:pPr>
        <w:jc w:val="both"/>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extensive environmental laws and regulations, including increasingly stringent engine emissions standards, and our compliance with, or our failure to comply with, existing or future laws and regulations could delay production of our products or otherwise adversely affect our business.</w:t>
      </w:r>
    </w:p>
    <w:p>
      <w:pPr>
        <w:spacing w:after="0" w:line="13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 the countries in which we operate. These regulations govern, among other things, emissions into the air, discharges into water, the use, handling and disposal of hazardous substances, waste disposal and the remediation of soil and groundwater contamination. Our costs of complying with these or any other current or future environmental regulations may be significant. For example, several countries have adopted more stringent environmental regulations regarding emissions into the air, and it is possible that new emissions-related legislation or regulations will be adopted in connection with concerns regarding GHG. The regulation of GHG emissions from certain stationary or mobile sources could result in additional costs to us in the form of taxes or emission allowances, facilities improvements and energy costs, which would increase our operating costs through higher utility, transportation and materials costs. Increased input costs, such as fuel and fertilizer, and compliance-related costs also could impact retail customer operations and demand for our equipment. Because the impact of any future GHG legislative, regulatory or product standard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requirements on our global businesses and products is dependent on the timing and design of mandates or standards, we are unable to predict its potential impact at this time.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be subject to liability in connection with properties and businesses that we no longer own or operate. We may be adversely impacted by costs, liabilities or claims with respect to our operations under existing laws or those that may be adopted in the future that could apply to both future and prior conduct. If we fail to comply with existing or future laws and regulations, we may be subject to governmental or judicial fines or sanctions, or we may not be able to sell our products and, therefore, our performance could be adversely affected.</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products that we manufacture or sell, particularly engines, are subject to increasingly stringent environmental regulations, including those that limit GHG emissions. As a result, on an ongoing basis we incur significant engineering expenses and capital expenditures to modify our products to comply with these regulations. Further, we may experience production delays if we or our suppliers are unable to design and manufacture components for our products that comply with environmental standards. For instance, as we are required to meet more stringent engine emission reduction standards that are applicable to engines we manufacture or incorporate into our products, we expect to meet these requirements through the introduction of new technology to our products, engines and exhaust after-treatment systems, as necessary. Failure to meet such requirements could materially affect our business and results of operations.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SEC disclosure obligations relating to “conflict minerals” (columbite-tantalite, cassiterite (tin), wolframite (tungsten) and gold) that are sourced from the Democratic Republic of Congo or adjacent countries. Complying with these requirements has and will require us to incur additional costs, including the costs to determine the sources of any conflict minerals used in our products and to modify our processes or products, if required. As a result, we may choose to modify the sourcing, supply and pricing of materials in our products. In addition, we may face reputational and regulatory risks if the information that we receive from our suppliers is inaccurate or inadequate, or our process in obtaining that information does not fulfill the SEC’s requirements. We have a formal policy with respect to the use of conflict minerals in our products that is intended to minimize, if not eliminate, conflict minerals sourced from the covered countries to the extent that we are unable to document that they have been obtained from conflict-free sources.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labor force is heavily unionized, and our contractual and legal obligations under collective bargaining agreements and labor laws subject us to the risks of work interruption or stoppage and could cause our costs to be higher.</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Most of our employees, most notably at our manufacturing facilities, are subject to collective bargaining agreements and union contracts with terms that expire on varying dates. Several of our collective bargaining agreements and union contracts are of limited duration and, therefore, must be re-negotiated frequently. As a result, we incur various administrative expenses associated with union representation of our employees. Furthermore, we are at greater risk of work interruptions or stoppages than non-unionized companies, and any work interruption or stoppage could significantly impact the volume of products we have available for sale. In addition, collective bargaining agreements, union contracts and labor laws may impair our ability to reduce our labor costs by streamlining existing manufacturing facilities or restructuring our business because of limitations on personnel and salary changes and similar restrictions.</w:t>
      </w:r>
    </w:p>
    <w:p>
      <w:pPr>
        <w:spacing w:after="0" w:line="1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pension obligations with respect to our employees, and our cash flow available for other purposes may be adversely affected in the event that payments became due under any pension plans that are unfunded or underfunded. Declines in the market value of the securities used to fund these obligations will result in increased pension expense in future periods.</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portion of our active and retired employees participate in defined benefit pension plans under which we are obligated to provide prescribed levels of benefits regardless of the value of the underlying assets, if any, of the applicable pension plans. To the extent that our obligations under a plan are unfunded or underfunded, we will have to use cash flow from operations and other sources to pay our obligations either as they become due or over some shorter funding period. In addition, since the assets that we already have provided to fund these obligations are invested in debt instruments and other securities, the value of these assets varies due to market factors. Historically, these fluctuations have been significant and sometimes adverse, and there can be no assurances that they will not be significant or adverse in the future. We are also subject to laws and regulations governing the administration of our pension plans in certain countries, and the specific provisions, benefit formulas and related interpretations of such laws, regulations and provisions can be complex. Failure to properly administer the provisions of our pension plans and comply with applicable laws and regulations could have an adverse impact to our results of operations. As of December 31, 2018, we had substantial unfunded or underfunded obligations related to our pension and other postretirement health care benefits. See the notes to our Consolidated Financial Statements contained in Item 8 for more information regarding our unfunded or underfunded obligations.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routinely is subject to claims and legal actions, some of which could be material.</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We routinely are a party to claims and legal actions incidental to our business. These include claims for personal injuries by users of farm equipment, disputes with distributors, vendors and others with respect to commercial matters, and disputes with taxing and other governmental authorities regarding the conduct of our business. While these matters generally are not material, it is entirely possible that a matter will arise that is material to our business.</w:t>
      </w:r>
    </w:p>
    <w:p>
      <w:pPr>
        <w:spacing w:after="0" w:line="15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addition, we use a broad range of technology in our products. We developed some of this technology, we license some of this technology from others, and some of the technology is embedded in the components and parts that we purchase from suppliers. From time-to-time, third parties make claims that the technology that we use violates their patent rights. While to date none of these claims have been significant, we cannot provide any assurances that there will not be significant claims in the future or that currently existing claims will not prove to be more significant than anticipated.</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and, as a result, we are subject to certain restrictive covenants and payment obligations that may adversely affect our ability to operate and expand our business.</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credit facility and certain other debt agreements have various financial and other covenants that require us to maintain certain total debt to EBITDA and interest coverage ratios. In addition, the credit facility and certain other debt agreements contain other restrictive covenants, such as ones that limit the incurrence of indebtedness and the making of certain payments, including dividends, and are subject to acceleration in the event of default. If we fail to comply with these covenants and are unable to obtain a waiver or amendment, an event of default would result.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any event of default were to occur, our lenders could, among other things, declare outstanding amounts due and payable, and our cash may become restricted. In addition, an event of default or declaration of acceleration under our credit facility or certain other debt agreements could also result in an event of default under our other financing agreements.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substantial indebtedness could have other important adverse consequences such as:</w:t>
      </w:r>
    </w:p>
    <w:p>
      <w:pPr>
        <w:spacing w:after="0" w:line="225" w:lineRule="exact"/>
        <w:rPr>
          <w:sz w:val="20"/>
          <w:szCs w:val="20"/>
          <w:color w:val="auto"/>
        </w:rPr>
      </w:pPr>
    </w:p>
    <w:p>
      <w:pPr>
        <w:ind w:left="1300" w:right="280" w:hanging="320"/>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which would reduce the availability of our cash flow to fund future working capital, capital expenditures, acquisitions and other general corporate purposes;</w:t>
      </w: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being able to introduce new products or pursuing business opportunities;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may have less indebtedness; and</w:t>
      </w:r>
    </w:p>
    <w:p>
      <w:pPr>
        <w:spacing w:after="0" w:line="9" w:lineRule="exact"/>
        <w:rPr>
          <w:rFonts w:ascii="Times New Roman" w:cs="Times New Roman" w:eastAsia="Times New Roman" w:hAnsi="Times New Roman"/>
          <w:sz w:val="18"/>
          <w:szCs w:val="18"/>
          <w:color w:val="auto"/>
        </w:rPr>
      </w:pPr>
    </w:p>
    <w:p>
      <w:pPr>
        <w:ind w:left="1300" w:right="220" w:hanging="320"/>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along with the financial and other restrictive covenants in our indebtedness, among other things, our ability to borrow additional funds, pay cash dividends or engage in or enter into certain transactions.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increasingly is subject to regulations relating to privacy and data protection, and if we violate any of those regulations we could be subject to significant claims, penalties and damages.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Increasingly, the United States, the European Union and other governmental entities are imposing regulations designed to protect the collection, maintenance and transfer of personal information. For example, the European Union adopted the General Data Protection Regulation (the “GDPR”) that imposes stringent data protection requirements and greater penalties for non-compliance beginning in May 2018. The GDPR also protects a broader set of personal information than traditionally has been protected in the United States and provides for a right of “erasure.” Other regulations govern the collection and transfer of financial data and data security generally. These regulations generally impose penalties in the event of violations. While we attempt to comply with all applicable cybersecurity regulations, their implementation is complex, and, if we are not successful, we may be subject to penalties and claims for damages from regulators and the impacted individuals.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other disruptions to our information technology infrastructure could interfere with our operations and could compromise confidential information, exposing us to liability that could cause our business and reputation to suffer.</w:t>
      </w:r>
    </w:p>
    <w:p>
      <w:pPr>
        <w:spacing w:after="0" w:line="15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rely upon information technology networks and systems, some of which are managed by third parties, to process, transmit and store electronic information, and to manage or support a variety of business processes and activities, including supply chain, manufacturing, distribution, invoicing and collection of payments from dealers or other purchasers of our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equipment. We also use information technology systems to record, process and summarize financial information and results of operations for internal reporting purposes and to comply with regulatory financial reporting, legal and tax requirements. Additionally, we collect and store sensitive data, including intellectual property and proprietary business information, in data centers and on information technology networks. The secure operation of these information technology networks and the processing and maintenance of this information is critical to our business operations and strategy. Despite security measures and business continuity plans, our information technology networks and infrastructure may be vulnerable to damage, disruptions or shutdowns due to attacks by cyber criminals or breaches due to employee error or malfeasance or other disruptions during the process of upgrading or replacing computer software or hardware, power outages, computer viruses, telecommunication or utility failures, terrorist acts or, natural disasters or other catastrophic events. The occurrence of any of these events could compromise our networks, and the information stored there could be accessed, publicly disclosed, lost or stolen. Any such access, disclosure or other loss of information could result in legal claims or proceedings, liability or regulatory penalties under laws protecting the privacy of personal information, and could disrupt our operations and damage our reputation, which could adversely affect our performance. In addition, as security threats continue to evolve and increase in frequency and sophistication, we may need to invest additional resources to protect the security of our systems.</w:t>
      </w:r>
    </w:p>
    <w:p>
      <w:pPr>
        <w:spacing w:after="0" w:line="1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integrating businesses we acquire and may not fully achieve, or achieve within a reasonable time frame, expected strategic objectives and other expected benefits of the acquisitions.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From time-to-time we seek to expand through acquisitions of other businesses. We expect to realize strategic and other benefits as a result of our acquisitions, including, among other things, the opportunity to extend our reach in the agricultural industry and provide our dealers and their retail customers with an even wider range of products and services. However, it is impossible to predict with certainty whether, or to what extent, these benefits will be realized or whether we will be able to integrate acquired businesses in a timely and effective manner. For example:</w:t>
      </w:r>
    </w:p>
    <w:p>
      <w:pPr>
        <w:spacing w:after="0" w:line="180" w:lineRule="exact"/>
        <w:rPr>
          <w:sz w:val="20"/>
          <w:szCs w:val="20"/>
          <w:color w:val="auto"/>
        </w:rPr>
      </w:pPr>
    </w:p>
    <w:p>
      <w:pPr>
        <w:ind w:left="660" w:right="60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integrating acquired businesses and their operations may be higher than we expect and may require significant attention from our management;</w:t>
      </w:r>
    </w:p>
    <w:p>
      <w:pPr>
        <w:ind w:left="660" w:right="2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we acquire may have undisclosed liabilities, such as environmental liabilities or liabilities for violations of laws, such as the FCPA, that we did not expect; and</w:t>
      </w:r>
    </w:p>
    <w:p>
      <w:pPr>
        <w:ind w:left="660" w:right="8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carry out our growth strategies for acquired businesses will be affected by, among other things, our ability to maintain and enhance our relationships with their existing customers, our ability to provide additional product distribution opportunities to them through our existing distribution channels, changes in the spending patterns and preferences of customers and potential customers, fluctuating economic and competitive conditions and our ability to retain their key personnel.</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ability to address these issues will determine the extent to which we are able to successfully integrate, develop and grow acquired businesses and to realize the expected benefits of these transactions. Our failure to do so could have a material adverse effect on our performance following the transactions.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United States tax, tariff, trade and import/export regulations may have a negative effect on global economic conditions, financial markets and our business.</w:t>
      </w:r>
    </w:p>
    <w:p>
      <w:pPr>
        <w:spacing w:after="0" w:line="154"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8"/>
          <w:szCs w:val="18"/>
          <w:color w:val="auto"/>
        </w:rPr>
        <w:t>here have been ongoing discussions and significant changes to United States trade policies, treaties, tariffs and taxes. Although the level changes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from period to period, we generally have substantial imports into the United States of products and components that are either produced in our foreign locations or are purchased from foreign suppliers, and also have substantial exports of products and components that we manufacture in the United</w:t>
      </w:r>
    </w:p>
    <w:p>
      <w:pPr>
        <w:spacing w:after="0" w:line="268" w:lineRule="auto"/>
        <w:rPr>
          <w:sz w:val="20"/>
          <w:szCs w:val="20"/>
          <w:color w:val="auto"/>
        </w:rPr>
      </w:pPr>
      <w:r>
        <w:rPr>
          <w:rFonts w:ascii="Times New Roman" w:cs="Times New Roman" w:eastAsia="Times New Roman" w:hAnsi="Times New Roman"/>
          <w:sz w:val="18"/>
          <w:szCs w:val="18"/>
          <w:color w:val="auto"/>
        </w:rPr>
        <w:t>States. The impact of any changes to current trade, tariff or tax policies relating to imports and exports of goods is dependent on factors such as the treatment of exports as a credit to imports, and the introduction of any tariffs or taxes relating to imports from specific countries. The most significant changes recently have been the imposition of tariffs by the United States on imports from China and the imposition by China of tariffs on imports from the United States. In the past, we have had moderate amounts of imports into the U.S. from China. To date, the impact of announced China tariffs has not been material to us because we have been able to redirect and employ sourcing alternatives for products coming into the United States. In addition, we do not export significant amounts from the United States into China. It is unclear what other changes might be considered or implemented and what response to any such changes may be by the governments of other countries. Any changes that increase the cost of international trade or otherwise impact the global economy, including through the increase in domestic prices for raw materials, could have a material adverse effect on our business, financial condition and results of operations. For example, the United States, Canada and Mexico have renegotiated the North America Free Trade Agreement, and the impacts of the changes brought about by the new agreement, named the United States, Mexico, Canada Agreement (the “USMCA”), for which the language has not yet been ratified, are not currently known. We continue to monitor closely the status and implementation of the USMCA.</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joint ventures in the Netherlands and Russia with an entity that currently is operating under a time-limited general license from the U.S. Department of Treasury authorizing the maintenance or wind-down of operations and existing contracts. In the event that the license expires without further relief being granted or without other authorization from the U.S. Department of the Treasury, we may no longer be able to continue the joint ventures' commercial operations, and we would be required to assess the fair value of certain assets related to the joint ventures for potential impairment. Our most recent preliminary assessment indicated that impairment, if any, would not be material.</w:t>
      </w:r>
    </w:p>
    <w:p>
      <w:pPr>
        <w:spacing w:after="0" w:line="3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240" w:top="121" w:right="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manufacturing locations and/or properties as of January 31,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198"/>
        </w:trPr>
        <w:tc>
          <w:tcPr>
            <w:tcW w:w="33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5720" w:type="dxa"/>
            <w:vAlign w:val="bottom"/>
            <w:gridSpan w:val="3"/>
          </w:tcPr>
          <w:p>
            <w:pPr>
              <w:ind w:left="1180"/>
              <w:spacing w:after="0" w:line="198" w:lineRule="exact"/>
              <w:rPr>
                <w:sz w:val="20"/>
                <w:szCs w:val="20"/>
                <w:color w:val="auto"/>
              </w:rPr>
            </w:pPr>
            <w:r>
              <w:rPr>
                <w:rFonts w:ascii="Times New Roman" w:cs="Times New Roman" w:eastAsia="Times New Roman" w:hAnsi="Times New Roman"/>
                <w:sz w:val="18"/>
                <w:szCs w:val="18"/>
                <w:b w:val="1"/>
                <w:bCs w:val="1"/>
                <w:color w:val="auto"/>
              </w:rPr>
              <w:t>Description of Property</w:t>
            </w:r>
          </w:p>
        </w:tc>
        <w:tc>
          <w:tcPr>
            <w:tcW w:w="12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(Sq. Ft.)</w:t>
            </w:r>
          </w:p>
        </w:tc>
        <w:tc>
          <w:tcPr>
            <w:tcW w:w="114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b w:val="1"/>
                <w:bCs w:val="1"/>
                <w:color w:val="auto"/>
              </w:rPr>
              <w:t>(Sq. Ft.)</w:t>
            </w:r>
          </w:p>
        </w:tc>
      </w:tr>
      <w:tr>
        <w:trPr>
          <w:trHeight w:val="48"/>
        </w:trPr>
        <w:tc>
          <w:tcPr>
            <w:tcW w:w="40" w:type="dxa"/>
            <w:vAlign w:val="bottom"/>
            <w:tcBorders>
              <w:bottom w:val="single" w:sz="8" w:color="CCEEFF"/>
            </w:tcBorders>
          </w:tcPr>
          <w:p>
            <w:pPr>
              <w:spacing w:after="0"/>
              <w:rPr>
                <w:sz w:val="4"/>
                <w:szCs w:val="4"/>
                <w:color w:val="auto"/>
              </w:rPr>
            </w:pPr>
          </w:p>
        </w:tc>
        <w:tc>
          <w:tcPr>
            <w:tcW w:w="680" w:type="dxa"/>
            <w:vAlign w:val="bottom"/>
            <w:tcBorders>
              <w:top w:val="single" w:sz="8" w:color="auto"/>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820" w:type="dxa"/>
            <w:vAlign w:val="bottom"/>
            <w:tcBorders>
              <w:top w:val="single" w:sz="8" w:color="auto"/>
              <w:bottom w:val="single" w:sz="8" w:color="CCEEFF"/>
            </w:tcBorders>
          </w:tcPr>
          <w:p>
            <w:pPr>
              <w:spacing w:after="0"/>
              <w:rPr>
                <w:sz w:val="4"/>
                <w:szCs w:val="4"/>
                <w:color w:val="auto"/>
              </w:rPr>
            </w:pPr>
          </w:p>
        </w:tc>
        <w:tc>
          <w:tcPr>
            <w:tcW w:w="27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Assumption, Illinois</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Manufacturing/Sales and Administrative Office</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933,900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Batavia, Illinois</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Parts Distribution</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310,200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Duluth, Georgia</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Corporate Headquarters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159,000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Hesston, Kansas</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1,461,800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Jackson, Minnesota</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51,400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986,400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Beauvais, France</w:t>
            </w:r>
            <w:r>
              <w:rPr>
                <w:rFonts w:ascii="Times New Roman" w:cs="Times New Roman" w:eastAsia="Times New Roman" w:hAnsi="Times New Roman"/>
                <w:sz w:val="21"/>
                <w:szCs w:val="21"/>
                <w:color w:val="auto"/>
                <w:vertAlign w:val="superscript"/>
              </w:rPr>
              <w:t>(1)</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14,300</w:t>
            </w:r>
          </w:p>
        </w:tc>
        <w:tc>
          <w:tcPr>
            <w:tcW w:w="1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1,596,200</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Breganze, Italy</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1,562,000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Ennery, France</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Parts Distribution</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839,600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360,300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Linnavuori, Finland</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211,700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396,300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Hohenmölsen, Germany</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Marktoberdorf, Germany</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1,472,200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Wolfenbüttel, Germany</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546,700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Stockerau, Austria</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160,700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Biatorbagy, Hungary</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287,300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Thisted, Denmark</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Suolahti, Finland</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Manufacturing/Parts Distribution</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97,500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561,400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Canoas, Brazil</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Regional Headquarters/Manufacturing</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1,120,000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Mogi das Cruzes, Brazil</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727,200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Santa Rosa, Brazil</w:t>
            </w:r>
          </w:p>
        </w:tc>
        <w:tc>
          <w:tcPr>
            <w:tcW w:w="57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508,900</w:t>
            </w: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Changzhou, China</w:t>
            </w:r>
          </w:p>
        </w:tc>
        <w:tc>
          <w:tcPr>
            <w:tcW w:w="5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Manufacturing</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241,100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767,000</w:t>
            </w:r>
          </w:p>
        </w:tc>
      </w:tr>
      <w:tr>
        <w:trPr>
          <w:trHeight w:val="142"/>
        </w:trPr>
        <w:tc>
          <w:tcPr>
            <w:tcW w:w="3320" w:type="dxa"/>
            <w:vAlign w:val="bottom"/>
            <w:gridSpan w:val="3"/>
          </w:tcPr>
          <w:p>
            <w:pPr>
              <w:jc w:val="right"/>
              <w:ind w:right="1200"/>
              <w:spacing w:after="0"/>
              <w:rPr>
                <w:sz w:val="20"/>
                <w:szCs w:val="20"/>
                <w:color w:val="auto"/>
              </w:rPr>
            </w:pPr>
            <w:r>
              <w:rPr>
                <w:rFonts w:ascii="Times New Roman" w:cs="Times New Roman" w:eastAsia="Times New Roman" w:hAnsi="Times New Roman"/>
                <w:sz w:val="11"/>
                <w:szCs w:val="11"/>
                <w:color w:val="auto"/>
                <w:w w:val="97"/>
              </w:rPr>
              <w:t>_______________________________________</w:t>
            </w: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joint venture, GIMA, in which we own a 50% interest.</w:t>
      </w:r>
    </w:p>
    <w:p>
      <w:pPr>
        <w:spacing w:after="0" w:line="1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consider each of our facilities to be in good condition and adequate for its present use. We believe that we have sufficient capacity to meet our current and anticipated manufacturing requirements.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August 2008, as part of a routine audit, the Brazilian taxing authorities disallowed deductions relating to the amortization of certain goodwill recognized in connection with a reorganization of our Brazilian operations and the related transfer of certain assets to our Brazilian subsidiaries. The amount of the tax disallowance through December 31, 2018, not including interest and penalties, was approximately 131.5 million Brazilian reais (or approximately $33.9 million). The amount ultimately in dispute will be significantly greater because of interest and penalties. We have been advised by our legal and tax advisors that our position with respect to the deductions is allowable under the tax laws of Brazil. We are contesting the disallowance and believe that it is not likely that the assessment, interest or penalties will be required to be paid. However, the ultimate outcome will not be determined until the Brazilian tax appeal process is complete, which could take several years.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party to various other legal claims and actions incidental to our business. We believe that none of these claims or actions, either individually or in the aggregate, is material to our business or financial statements as a whole, including our results of operations and financial condition.</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and trades under the symbol AGCO. As of the close of business on February 22, 2019, the closing stock price was $66.95, and there were 324 stockholders of record (this number does not include stockholders who hold their stock through brokers, banks and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following presentation is a line graph of our cumulative total shareholder return on our common stock on an indexed basis as compared to the cumulative total return of the S&amp;P Mid-Cap 400 Index and a self-constructed peer group (“Peer Group”) for the five years ended December 31, 2018. Our total returns in the graph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123190</wp:posOffset>
            </wp:positionV>
            <wp:extent cx="5848985" cy="3576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60" w:type="dxa"/>
            <w:vAlign w:val="bottom"/>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Cumulative Total Return for the Years Ended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AGCO Corporation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Midcap 400 Index</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 Index</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135.19</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return assumes that dividends were reinvested and is based on a $100 investment on December 31, 2013.</w:t>
      </w:r>
    </w:p>
    <w:p>
      <w:pPr>
        <w:spacing w:after="0" w:line="90"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The Peer Group Index is a self-constructed peer group of companies that includes: Caterpillar Inc., CNH Industrial NV, Cummins Inc., Deere &amp; Company, Eaton Corporation Plc., Ingersoll-Rand Plc., Navistar International Corporation, PACCAR Inc., Parker-Hannifin Corporation and Terex Corporation.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of our common stock made by or on behalf of us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Maximum Approximate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Dollar Value of Shares that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May Yet Be Purchased</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265"/>
        </w:trPr>
        <w:tc>
          <w:tcPr>
            <w:tcW w:w="35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Borders>
              <w:bottom w:val="single" w:sz="8" w:color="CCEEFF"/>
            </w:tcBorders>
          </w:tcPr>
          <w:p>
            <w:pPr>
              <w:spacing w:after="0"/>
              <w:rPr>
                <w:sz w:val="23"/>
                <w:szCs w:val="23"/>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4"/>
              </w:rPr>
              <w:t>Programs</w:t>
            </w:r>
            <w:r>
              <w:rPr>
                <w:rFonts w:ascii="Times New Roman" w:cs="Times New Roman" w:eastAsia="Times New Roman" w:hAnsi="Times New Roman"/>
                <w:sz w:val="25"/>
                <w:szCs w:val="25"/>
                <w:b w:val="1"/>
                <w:bCs w:val="1"/>
                <w:color w:val="auto"/>
                <w:w w:val="94"/>
                <w:vertAlign w:val="superscript"/>
              </w:rPr>
              <w:t>(1)</w:t>
            </w:r>
          </w:p>
        </w:tc>
        <w:tc>
          <w:tcPr>
            <w:tcW w:w="10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gridSpan w:val="2"/>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5"/>
              </w:rPr>
              <w:t>Programs (in millions)</w:t>
            </w:r>
            <w:r>
              <w:rPr>
                <w:rFonts w:ascii="Times New Roman" w:cs="Times New Roman" w:eastAsia="Times New Roman" w:hAnsi="Times New Roman"/>
                <w:sz w:val="25"/>
                <w:szCs w:val="25"/>
                <w:b w:val="1"/>
                <w:bCs w:val="1"/>
                <w:color w:val="auto"/>
                <w:w w:val="95"/>
                <w:vertAlign w:val="superscript"/>
              </w:rPr>
              <w:t>(1)(3)</w:t>
            </w: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2018 through</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660" w:type="dxa"/>
            <w:vAlign w:val="bottom"/>
            <w:gridSpan w:val="2"/>
            <w:shd w:val="clear" w:color="auto" w:fill="CCEEFF"/>
          </w:tcPr>
          <w:p>
            <w:pPr>
              <w:ind w:left="180"/>
              <w:spacing w:after="0" w:line="262" w:lineRule="exact"/>
              <w:rPr>
                <w:sz w:val="20"/>
                <w:szCs w:val="20"/>
                <w:color w:val="auto"/>
              </w:rPr>
            </w:pPr>
            <w:r>
              <w:rPr>
                <w:rFonts w:ascii="Times New Roman" w:cs="Times New Roman" w:eastAsia="Times New Roman" w:hAnsi="Times New Roman"/>
                <w:sz w:val="18"/>
                <w:szCs w:val="18"/>
                <w:color w:val="auto"/>
              </w:rPr>
              <w:t>October 31, 2018</w:t>
            </w:r>
            <w:r>
              <w:rPr>
                <w:rFonts w:ascii="Times New Roman" w:cs="Times New Roman" w:eastAsia="Times New Roman" w:hAnsi="Times New Roman"/>
                <w:sz w:val="25"/>
                <w:szCs w:val="25"/>
                <w:color w:val="auto"/>
                <w:vertAlign w:val="superscript"/>
              </w:rPr>
              <w:t>(2)</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197,848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197,848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25"/>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1, 2018 through</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60" w:type="dxa"/>
            <w:vAlign w:val="bottom"/>
            <w:gridSpan w:val="2"/>
          </w:tcPr>
          <w:p>
            <w:pPr>
              <w:ind w:left="180"/>
              <w:spacing w:after="0" w:line="262" w:lineRule="exact"/>
              <w:rPr>
                <w:sz w:val="20"/>
                <w:szCs w:val="20"/>
                <w:color w:val="auto"/>
              </w:rPr>
            </w:pPr>
            <w:r>
              <w:rPr>
                <w:rFonts w:ascii="Times New Roman" w:cs="Times New Roman" w:eastAsia="Times New Roman" w:hAnsi="Times New Roman"/>
                <w:sz w:val="18"/>
                <w:szCs w:val="18"/>
                <w:color w:val="auto"/>
              </w:rPr>
              <w:t>November 30, 2018</w:t>
            </w:r>
            <w:r>
              <w:rPr>
                <w:rFonts w:ascii="Times New Roman" w:cs="Times New Roman" w:eastAsia="Times New Roman" w:hAnsi="Times New Roman"/>
                <w:sz w:val="25"/>
                <w:szCs w:val="25"/>
                <w:color w:val="auto"/>
                <w:vertAlign w:val="superscript"/>
              </w:rPr>
              <w:t>(3)</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1,422,222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1,422,222</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2018 through</w:t>
            </w: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60" w:type="dxa"/>
            <w:vAlign w:val="bottom"/>
            <w:gridSpan w:val="2"/>
            <w:shd w:val="clear" w:color="auto" w:fill="CCEEFF"/>
          </w:tcPr>
          <w:p>
            <w:pPr>
              <w:ind w:left="180"/>
              <w:spacing w:after="0" w:line="262" w:lineRule="exact"/>
              <w:rPr>
                <w:sz w:val="20"/>
                <w:szCs w:val="20"/>
                <w:color w:val="auto"/>
              </w:rPr>
            </w:pPr>
            <w:r>
              <w:rPr>
                <w:rFonts w:ascii="Times New Roman" w:cs="Times New Roman" w:eastAsia="Times New Roman" w:hAnsi="Times New Roman"/>
                <w:sz w:val="18"/>
                <w:szCs w:val="18"/>
                <w:color w:val="auto"/>
              </w:rPr>
              <w:t>December 31, 2018</w:t>
            </w:r>
            <w:r>
              <w:rPr>
                <w:rFonts w:ascii="Times New Roman" w:cs="Times New Roman" w:eastAsia="Times New Roman" w:hAnsi="Times New Roman"/>
                <w:sz w:val="25"/>
                <w:szCs w:val="25"/>
                <w:color w:val="auto"/>
                <w:vertAlign w:val="superscript"/>
              </w:rPr>
              <w:t>(3)</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326,733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326,733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57"/>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1,946,803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1,946,803</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authorized amount to be repurchased is $147.1 million, of which $115.7 million expires in December 2019 and $31.4 million has no expiration date.</w:t>
      </w:r>
    </w:p>
    <w:p>
      <w:pPr>
        <w:spacing w:after="0" w:line="147" w:lineRule="exact"/>
        <w:rPr>
          <w:rFonts w:ascii="Times New Roman" w:cs="Times New Roman" w:eastAsia="Times New Roman" w:hAnsi="Times New Roman"/>
          <w:sz w:val="14"/>
          <w:szCs w:val="14"/>
          <w:color w:val="auto"/>
        </w:rPr>
      </w:pPr>
    </w:p>
    <w:p>
      <w:pPr>
        <w:ind w:left="340" w:right="40" w:hanging="332"/>
        <w:spacing w:after="0" w:line="25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2018, we entered into an accelerated share repurchase (“ASR”) agreement with a third-party financial institution to repurchase $50.0 million of our common stock. The ASR agreement resulted in the initial delivery of 638,978 shares of our common stock, representing approximately 80% of the shares expected to repurchased in connection with the transaction. In October 2018, the remaining 197,848 shares under the ASR agreement were delivered. As reflected in the table above, the average price paid per share for the ASR agreement was the volume-weighted average stock price of our common stock over the term of the ASR agreement. Refer to Note 9 of our Consolidated Financial Statements contained in Item 8, “Financial Statements and Supplementary Data,” for a further discussion of this matter.</w:t>
      </w:r>
    </w:p>
    <w:p>
      <w:pPr>
        <w:spacing w:after="0" w:line="130" w:lineRule="exact"/>
        <w:rPr>
          <w:rFonts w:ascii="Times New Roman" w:cs="Times New Roman" w:eastAsia="Times New Roman" w:hAnsi="Times New Roman"/>
          <w:sz w:val="14"/>
          <w:szCs w:val="14"/>
          <w:color w:val="auto"/>
        </w:rPr>
      </w:pPr>
    </w:p>
    <w:p>
      <w:pPr>
        <w:ind w:left="340" w:hanging="332"/>
        <w:spacing w:after="0" w:line="25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2018, we entered into an ASR agreement with a third-party financial institution to repurchase $100.0 million of shares of our common stock. The ASR agreement resulted in the initial delivery of 1,422,222 shares of our common stock, representing 80% of the shares expected to be repurchased in connection with the transaction. In December 2018, the remaining 326,733 shares under the ASR agreement were delivered. As reflected in the table above, the average price paid per share for the ASR agreement was the volume-weighted average stock price of our common stock over the term of the ASR agreement. Refer to Note 9 of our Consolidated Financial Statements contained in Item 8, “Financial Statements and Supplementary Data,” for a further discussion of this matter.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selected consolidated financial data. The data set forth below should be read together with Item 7, “Management’s Discussion and Analysis of Financial Condition and Results of Operations,” and our historical Consolidated Financial Statements and the related notes. The Consolidated Financial Statements as of December 31, 2018 and 2017 and for the years ended December 31, 2018, 2017 and 2016 and the reports thereon are included in Item 8, “Financial Statements and Supplementary Data.” The historical financial data may not be indicative of our future performance.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0"/>
                <w:szCs w:val="20"/>
                <w:color w:val="auto"/>
              </w:rPr>
            </w:pPr>
          </w:p>
        </w:tc>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44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9,352.0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8,306.5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7,410.5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7,467.3</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9,723.7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1,996.7</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1,765.3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1,515.5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1,560.6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2,066.3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489.0</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404.4</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287.0</w:t>
            </w:r>
          </w:p>
        </w:tc>
        <w:tc>
          <w:tcPr>
            <w:tcW w:w="4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358.6</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189.3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AGCO Corporation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186.4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80.2</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81.7</w:t>
            </w:r>
          </w:p>
        </w:tc>
        <w:tc>
          <w:tcPr>
            <w:tcW w:w="4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11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2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 millions, except number of employees)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429.7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426.7</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7,626.4</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7,971.7</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7,168.4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6,497.7</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7,364.5</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 excluding current portion and debt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costs</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1,275.3</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44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1,610.0</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925.2</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2,993.5</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2,837.2</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2,883.3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3,496.9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employees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21,232</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19,795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19,588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20,828</w:t>
            </w:r>
          </w:p>
        </w:tc>
      </w:tr>
      <w:tr>
        <w:trPr>
          <w:trHeight w:val="90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We are a leading manufacturer and distributor of agricultural equipment and related replacement parts throughout the world. We sell a full range of agricultural equipment, including tractors, combines, self-propelled sprayers, hay tools, forage equipment, seeding and tillage equipment, implements, and grain storage and protein production systems. Our products are widely recognized in the agricultural equipment industry and are marketed under a number of well-known brand names, including: Challenger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Fendt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GSI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Valtra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We distribute most of our products through a combination of approximately 4,050 dealers and distributors as well as associates and licensees. In addition, we provide retail financing through our finance joint ventures with Rabobank.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sell our equipment and replacement parts to our independent dealers, distributors and other customers. A large majority of our sales are to independent dealers and distributors that sell our products to end users. To the extent practicable, we attempt to sell products to our dealers and distributors on a level basis throughout the year to reduce the effect of seasonal demands on our manufacturing operations and to minimize our investment in inventories. However, retail sales by dealers to farmers are highly seasonal and are linked to the planting and harvesting seasons. In certain markets, particularly in North America, there is often a time lag, which varies based on the timing and level of retail demand, between our sale of the equipment to the dealer and the dealer’s sale to a retail customer.</w:t>
      </w:r>
    </w:p>
    <w:p>
      <w:pPr>
        <w:spacing w:after="0" w:line="18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percentage relationship to net sales of certain items included in our Consolidated Statements of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354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90"/>
              <w:spacing w:after="0" w:line="264" w:lineRule="exact"/>
              <w:rPr>
                <w:sz w:val="20"/>
                <w:szCs w:val="20"/>
                <w:color w:val="auto"/>
              </w:rPr>
            </w:pPr>
            <w:r>
              <w:rPr>
                <w:rFonts w:ascii="Times New Roman" w:cs="Times New Roman" w:eastAsia="Times New Roman" w:hAnsi="Times New Roman"/>
                <w:sz w:val="18"/>
                <w:szCs w:val="18"/>
                <w:b w:val="1"/>
                <w:bCs w:val="1"/>
                <w:color w:val="auto"/>
              </w:rPr>
              <w:t>2018</w:t>
            </w:r>
            <w:r>
              <w:rPr>
                <w:rFonts w:ascii="Times New Roman" w:cs="Times New Roman" w:eastAsia="Times New Roman" w:hAnsi="Times New Roman"/>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30"/>
              <w:spacing w:after="0" w:line="264" w:lineRule="exact"/>
              <w:rPr>
                <w:sz w:val="20"/>
                <w:szCs w:val="20"/>
                <w:color w:val="auto"/>
              </w:rPr>
            </w:pPr>
            <w:r>
              <w:rPr>
                <w:rFonts w:ascii="Times New Roman" w:cs="Times New Roman" w:eastAsia="Times New Roman" w:hAnsi="Times New Roman"/>
                <w:sz w:val="18"/>
                <w:szCs w:val="18"/>
                <w:b w:val="1"/>
                <w:bCs w:val="1"/>
                <w:color w:val="auto"/>
              </w:rPr>
              <w:t>2017</w:t>
            </w:r>
            <w:r>
              <w:rPr>
                <w:rFonts w:ascii="Times New Roman" w:cs="Times New Roman" w:eastAsia="Times New Roman" w:hAnsi="Times New Roman"/>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10"/>
              <w:spacing w:after="0" w:line="264" w:lineRule="exact"/>
              <w:rPr>
                <w:sz w:val="20"/>
                <w:szCs w:val="20"/>
                <w:color w:val="auto"/>
              </w:rPr>
            </w:pPr>
            <w:r>
              <w:rPr>
                <w:rFonts w:ascii="Times New Roman" w:cs="Times New Roman" w:eastAsia="Times New Roman" w:hAnsi="Times New Roman"/>
                <w:sz w:val="18"/>
                <w:szCs w:val="18"/>
                <w:b w:val="1"/>
                <w:bCs w:val="1"/>
                <w:color w:val="auto"/>
              </w:rPr>
              <w:t>2016</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Engineering expenses</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Bad debt expense</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1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1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8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(1)  Rounding may impact summation of amounts.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2018 Compared to 2017</w:t>
      </w:r>
    </w:p>
    <w:p>
      <w:pPr>
        <w:spacing w:after="0" w:line="22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Net income attributable to AGCO Corporation and subsidiaries for 2018 was $285.5 million, or $3.58 per diluted share, compared to $186.4 million, or $2.32 per diluted share for 2017.</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Net sales for 2018 were approximately $9,352.0 million, or 12.6% higher than 2017, primarily due to sales growth in all regions and the positive impact of acquisitions. Income from operations was $489.0 million in 2018 compared to $404.4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2017. The increase in income from operations during 2018 was primarily a result of higher net sales and improved operating margins.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Regionally, income from operations in the Europe/Middle East (“EME”) region increased by approximately $107.8 million in 2018 compared to 2017, driven primarily by higher net sales and improved margins. In our North American region, income from operations improved by approximately $36.2 million. Higher net sales levels as well as the benefit from our Precision Planting acquisition completed in September 2017 contributed to the improvement in the region. In South America, income from operations decreased approximately $25.5 million in 2018 compared to 2017. The decline was due to lower margins resulting from material cost inflation and higher costs associated with localizing newer product technology into our Brazilian factories. Income from operations in our Asia/Pacific/Africa (“APA”) region increased approximately $0.8 million in 2018 compared to 2017, primarily due to the growth in net sales.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Industry Market Conditions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Robust global crop production has kept commodity prices at relatively low levels and pressured farm income during 2018. Global industry demand for farm equipment was mixed across key markets during 2018, with future demand dependent on factors such as commodity price development, as well as government trade and farm support policies. In North America, retail sales increased in 2018 in the row crop segment as farmers replaced their equipment after years of weaker demand. In addition, industry unit retail sales of lower-horsepower tractors remained strong in 2018. Industry unit retail sales of tractors increased by approximately 2%, while industry unit retail sales of combines increased approximately 10% in 2018 compared to 2017. Industry retail sales of tractors in Western Europe decreased slightly during 2018 where demand was lower across most European markets, offset by growth in the United Kingdom. Farm income was impacted by a weak wheat harvest due to a dry, hot summer, pressuring the arable farming segment demand. Industry unit retail sales of combines in Western Europe increased approximately 13% during 2018 over prior year. Industry retail sales in South America were mixed during the full year of 2018. Equipment demand in Brazil improved in the second half of 2018 after more positive terms for the government’s financing programs were announced. Market growth in Brazil was offset by weak demand in Argentina due to a poor first harvest and weak general economic conditions. Industry unit retail sales of tractors in South America were flat and industry unit retail sales of combines increased by approximately 9% in 2018 compared to 2017.</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for 2018 were $9,352.0 million compared to $8,306.5 million for 2017, with growth achieved in all regions, on a constant currency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growth was also the result of the positive impacts of acquisitions and foreign currency translation. The following table sets forth,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the impact to net sales of currency translation and acquisitions by geographical segment (in millions,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Change due to Currency</w:t>
            </w:r>
          </w:p>
        </w:tc>
        <w:tc>
          <w:tcPr>
            <w:tcW w:w="240" w:type="dxa"/>
            <w:vAlign w:val="bottom"/>
          </w:tcPr>
          <w:p>
            <w:pPr>
              <w:spacing w:after="0"/>
              <w:rPr>
                <w:sz w:val="18"/>
                <w:szCs w:val="18"/>
                <w:color w:val="auto"/>
              </w:rPr>
            </w:pPr>
          </w:p>
        </w:tc>
        <w:tc>
          <w:tcPr>
            <w:tcW w:w="17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40" w:type="dxa"/>
            <w:vAlign w:val="bottom"/>
          </w:tcPr>
          <w:p>
            <w:pPr>
              <w:spacing w:after="0"/>
              <w:rPr>
                <w:sz w:val="20"/>
                <w:szCs w:val="20"/>
                <w:color w:val="auto"/>
              </w:rPr>
            </w:pPr>
          </w:p>
        </w:tc>
        <w:tc>
          <w:tcPr>
            <w:tcW w:w="17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 America</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APA</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0" w:firstLine="648"/>
        <w:spacing w:after="0" w:line="254" w:lineRule="auto"/>
        <w:rPr>
          <w:sz w:val="20"/>
          <w:szCs w:val="20"/>
          <w:color w:val="auto"/>
        </w:rPr>
      </w:pPr>
      <w:r>
        <w:rPr>
          <w:rFonts w:ascii="Times New Roman" w:cs="Times New Roman" w:eastAsia="Times New Roman" w:hAnsi="Times New Roman"/>
          <w:sz w:val="18"/>
          <w:szCs w:val="18"/>
          <w:color w:val="auto"/>
        </w:rPr>
        <w:t>Regionally, net sales in North America increased during 2018 compared to 2017, with sales growth driven by the positive impacts of our Precision Planting acquisition as well as increased sales of tractors, sprayers, hay tools and grain storage equipment. Net sales grew in South America in 2018 compared to 2017, excluding the negative impact of currency translation. Sales growth in Brazil, primarily in the second half of 2018, was partially offset by sales declines in Argentina. In the EME region, net sales increased during 2018 compared to 2017, with growth strongest in the key markets of the United Kingdom, Germany and France. In the APA region, net sales increased in 2018 compared to 2017, primarily due to a growth in sales in China and Australia. We estimate that worldwide average price increases were approximately 1.4% and 1.1% in 2018 and 2017, respectively. Consolidated net sales of tractors and combines, which comprised approximately 61% of our net sales in 2018, increased approximately 11% in 2018 compared to 2017. Unit sales of tractors and combines increased approximately 7.6% during 2018 compared to 2017. The unit sales increase and the increase in net sales can differ due to foreign currency translation, pricing and sales mix changes.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years ended December 31, 2018 and 2017, the percentage relationship to net sales of certain items included in our Consolidated Statements of Operations (in millions,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65"/>
        </w:trPr>
        <w:tc>
          <w:tcPr>
            <w:tcW w:w="7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1100" w:type="dxa"/>
            <w:vAlign w:val="bottom"/>
            <w:gridSpan w:val="2"/>
          </w:tcPr>
          <w:p>
            <w:pPr>
              <w:jc w:val="center"/>
              <w:ind w:right="100"/>
              <w:spacing w:after="0" w:line="265" w:lineRule="exact"/>
              <w:rPr>
                <w:sz w:val="20"/>
                <w:szCs w:val="20"/>
                <w:color w:val="auto"/>
              </w:rPr>
            </w:pPr>
            <w:r>
              <w:rPr>
                <w:rFonts w:ascii="Times New Roman" w:cs="Times New Roman" w:eastAsia="Times New Roman" w:hAnsi="Times New Roman"/>
                <w:sz w:val="18"/>
                <w:szCs w:val="18"/>
                <w:b w:val="1"/>
                <w:bCs w:val="1"/>
                <w:color w:val="auto"/>
                <w:w w:val="93"/>
              </w:rPr>
              <w:t>Net Sales</w:t>
            </w:r>
            <w:r>
              <w:rPr>
                <w:rFonts w:ascii="Times New Roman" w:cs="Times New Roman" w:eastAsia="Times New Roman" w:hAnsi="Times New Roman"/>
                <w:sz w:val="25"/>
                <w:szCs w:val="25"/>
                <w:b w:val="1"/>
                <w:bCs w:val="1"/>
                <w:color w:val="auto"/>
                <w:w w:val="93"/>
                <w:vertAlign w:val="superscript"/>
              </w:rPr>
              <w:t>(1)</w:t>
            </w:r>
          </w:p>
        </w:tc>
        <w:tc>
          <w:tcPr>
            <w:tcW w:w="240" w:type="dxa"/>
            <w:vAlign w:val="bottom"/>
          </w:tcPr>
          <w:p>
            <w:pPr>
              <w:spacing w:after="0"/>
              <w:rPr>
                <w:sz w:val="23"/>
                <w:szCs w:val="23"/>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0" w:type="dxa"/>
            <w:vAlign w:val="bottom"/>
          </w:tcPr>
          <w:p>
            <w:pPr>
              <w:spacing w:after="0"/>
              <w:rPr>
                <w:sz w:val="1"/>
                <w:szCs w:val="1"/>
                <w:color w:val="auto"/>
              </w:rPr>
            </w:pPr>
          </w:p>
        </w:tc>
      </w:tr>
      <w:tr>
        <w:trPr>
          <w:trHeight w:val="244"/>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1,069.4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0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(1)  Rounding may impact summation of amounts.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sales increased during 2018 compared to 2017, primarily due to higher sales and production volumes as well as pricing and cost containment initiatives, partially offset by increased material costs (including steel) and negative currency impacts. Production hours increased approximately 7% during 2018 compared to 2017. We recorded stock compensation expense of approximately $2.3 million and $2.8 million during 2018 and 2017, respectively, within cost of goods sold, as is more fully explained in Note 10 of our Consolidated Financial Statements.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and engineering expenses increased in dollars but were lower as a percentage of net sales during 2018 compared to 2017. The increases in SG&amp;A and engineering expenses were primarily the result of labor cost increases, the impact of acquisitions and negative foreign currency translation impacts during 2018. Engineering expenses also increased during 2018 to support investments in future new product introductions. We recorded stock compensation expense of approximately $44.3 million and $35.6 million during 2018 and 2017, respectively, within SG&amp;A expenses, as is more fully explained in Note 10 of our Consolidated Financial Statements.</w:t>
      </w:r>
    </w:p>
    <w:p>
      <w:pPr>
        <w:spacing w:after="0" w:line="184"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recorded restructuring expenses of approximately $12.0 million and $11.2 million during 2018 and 2017, respectively. The restructuring expenses primarily related to severance and related costs associated with the rationalization of employee headcount at various manufacturing facilities and administrative offices located in Europe, China, South America and the United States.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Interest expense, net was $53.8 million for 2018 compared to $45.1 million for 2017. During 2018, we repurchased approximately $300.0 million of our outstanding 5⅞% senior notes. The repurchase resulted in a loss on extinguishment of debt of approximately $24.5 million, including associated fees, offset by approximately $4.7 million of accelerated amortization of a deferred gain related to a terminated interest rate swap instrument associated with the senior notes. In addition, we repaid our outstanding term loan under our former revolving credit and term loan facility. We recorded approximately $0.7 million associated with the write-off of deferred debt issuance costs and a loss of approximately $3.9 million from a terminated interest rate swap instrument related to the term loan. See “Liquidity and Capital Resources” for further information.</w:t>
      </w:r>
    </w:p>
    <w:p>
      <w:pPr>
        <w:spacing w:after="0" w:line="18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Other expense, net was $74.9 million in 2018 compared to $75.5 million in 2017. Losses on sales of receivables, primarily related to our accounts receivable sales agreements with our finance joint ventures in North America, Europe and Brazil, were approximately $36.0 million and $39.2 million in 2018 and 2017, respectively. “Other expense, net” also includes hedging costs and foreign exchange losses which included losses associated with the devaluation of the Argentine peso incurred during 2018.</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have a wholly-owned subsidiary in Argentina that manufactures and distributes agricultural equipment and replacement parts within Argentina. As of June 30, 2018, on the basis of currently available data related to inflation indices and as a result of the devaluation of the Argentine peso relative to the United States dollar, the Argentinian economy was determined to be highly inflationary. A highly inflationary economy is one where the cumulative inflation rate for the three years preceding the beginning of the reporting period, including interim reporting periods, is in excess of 100 percent. As a result of this designation and based on the guidance in ASC 830, “Foreign Currency Matters,” we changed the functional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currency of our wholly-owned subsidiary from the Argentinian peso to the U.S. dollar effective July 1, 2018. For the six months ended December 31, 2018, our wholly-owned subsidiary in Argentina had net sales of approximately $92.2 million, and it had total assets of approximately $104.5 million as of December 31, 2018. The monetary assets and liabilities were remeasured based on current published exchange rates.</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recorded an income tax provision of $110.9 million in 2018 compared to $133.6 million in 2017. Our tax provision and effective tax rate are impacted by the differing tax rates of the various tax jurisdictions in which we operate, permanent differences for items treated differently for financial accounting and income tax purposes and for losses in jurisdictions where no income tax benefit is recorded. During 2017, we recorded a tax provision of approximately $42.0 million resulting from an estimate of the impact of the U.S. tax reform legislation enacted on December 22, 2017. During 2018, we finalized our calculations related to the U.S. tax reform legislation and recorded a tax benefit of approximately $8.5 million. At December 31, 2018 and 2017, we had gross deferred tax assets of $350.2 million and $354.9 million, respectively, including $74.5 million and $83.4 million, respectively, related to net operating loss carryforwards. At December 31, 2018, we had total valuation allowances as an offset to our gross deferred tax assets of approximately $83.9 million, which included allowances against net operating loss carryforwards in Brazil, China, the United Kingdom and the Netherlands, as well as allowances against our net deferred taxes in the U.S. At December 31, 2017, we had total valuation allowances as an offset to the gross deferred tax assets of approximately $81.9 million, primarily related to net operating loss carryforwards in Brazil, China, the United Kingdom and the Netherlands, as well as allowances against our net deferred taxes in the U.S. Realization of the remaining deferred tax assets as of December 31, 2018 will depend on generating sufficient taxable income in future periods, net of reversing deferred tax liabilities. We believe it is more likely than not that the remaining net deferred tax assets will be realized. Refer to Note 6 of our Consolidated Financial Statements for further information.</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Equity in net earnings of affiliates, which is primarily comprised of income from our finance joint ventures, was $34.3 million in 2018 compared to $39.1 million in 2017, primarily due to lower net earnings from certain finance joint ventures and other affiliates. Refer to “Finance Joint Ventures” for further information regarding our finance joint ventures and their results of operations and to Note 5 of our Consolidated Financial Statements.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Compared to 2016</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Net income attributable to AGCO Corporation and subsidiaries for 2017 was $186.4 million, or $2.32 per diluted share, compared to net income for 2016 of $160.1 million, or $1.96 per diluted share for 2016.</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Net sales for 2017 were approximately $8,306.5 million, or 12.1% higher than 2016, primarily due to sales growth in all regions, the positive impact of acquisitions and the benefit of currency translations impacts. Income from operations was $404.4 million in 2017 compared to $287.0 million in 2016. The increase in income from operations in 2017 was primarily a result of higher net sales and improved margins resulting from higher production levels and other cost reduction initiatives.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Regionally, income from operations in the EME region increased by approximately $93.1 million in 2017 compared to 2016, driven primarily by higher net sales and improved margins resulting from increased production levels. In our North American region, income from operations improved by approximately $25.3 million. Higher net sales, improved factory productivity and expense reduction efforts resulted in the improvement in operating margins. In South America, income from operations decreased approximately $5.0 million in 2017 compared to 2016. The decline was due to lower margins resulting from decreased production levels, material cost inflation and costs associated with transitioning our higher horsepower products to new tier 3 emission technology. Income from operations in our APA region increased approximately $29.1 million in 2017 compared to 2016 primarily due to the growth in net sales and improved margins.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Industry Market Conditions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North America, tractor and combine demand improved over 2016 levels, but demand in the other row crop segments remains weak. Specifically, industry unit retail sales of higher horsepower tractors were relatively flat, while industry unit retail sales of combines increased approximately 10% in 2017 compared to 2016. In addition, industry unit retail sales of lower-horsepower tractors grew modestly, while unit retail sales of hay and forage equipment deteriorated. Industry retail sales in Western Europe improved during 2017 with the strongest growth in Germany, Italy and the United Kingdom. Recovery in the dairy sector helped to support retail sales and improve overall confidence in the region. Lower commodity prices however pressured market demand in the arable farming segment. Industry unit retail sales of tractors increased approximately 4% in 2017 compared to 2016 in the region, while combine industry unit retail sales decreased approximately 6% over the same period. Industry retail sales in South America rose during the full year of 2017 as demand in Brazil grew strongly from depressed first half levels experienced in 2016. Brazilian sales slowed in the second half of 2017 as ongoing political and economic uncertainty dampened farmer confidence. The Argentine market was robust in 2017 as supportive government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policies stimulated growth. Industry unit retail sales of tractors and combines both increased in the region by approximately 13% in 2017 compared to 2016.</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Net sales for 2017 were $8,306.5 million compared to $7,410.5 million for 2016, primarily due to stable growth in all regions, acquisitions and the favorable impact of foreign currency translation. The following table sets forth, for the year ended December 31, 2017, the impact to net sales of currency translation by geographical segment (in millions, except percentages):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Change due to Currency</w:t>
            </w:r>
          </w:p>
        </w:tc>
        <w:tc>
          <w:tcPr>
            <w:tcW w:w="260" w:type="dxa"/>
            <w:vAlign w:val="bottom"/>
          </w:tcPr>
          <w:p>
            <w:pPr>
              <w:spacing w:after="0"/>
              <w:rPr>
                <w:sz w:val="18"/>
                <w:szCs w:val="18"/>
                <w:color w:val="auto"/>
              </w:rPr>
            </w:pPr>
          </w:p>
        </w:tc>
        <w:tc>
          <w:tcPr>
            <w:tcW w:w="17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60" w:type="dxa"/>
            <w:vAlign w:val="bottom"/>
          </w:tcPr>
          <w:p>
            <w:pPr>
              <w:spacing w:after="0"/>
              <w:rPr>
                <w:sz w:val="20"/>
                <w:szCs w:val="20"/>
                <w:color w:val="auto"/>
              </w:rPr>
            </w:pPr>
          </w:p>
        </w:tc>
        <w:tc>
          <w:tcPr>
            <w:tcW w:w="17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 America</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APA</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firstLine="648"/>
        <w:spacing w:after="0" w:line="254" w:lineRule="auto"/>
        <w:rPr>
          <w:sz w:val="20"/>
          <w:szCs w:val="20"/>
          <w:color w:val="auto"/>
        </w:rPr>
      </w:pPr>
      <w:r>
        <w:rPr>
          <w:rFonts w:ascii="Times New Roman" w:cs="Times New Roman" w:eastAsia="Times New Roman" w:hAnsi="Times New Roman"/>
          <w:sz w:val="18"/>
          <w:szCs w:val="18"/>
          <w:color w:val="auto"/>
        </w:rPr>
        <w:t>Regionally, net sales in North America increased during 2017 compared to 2016, driven by positive acquisition impacts. Mixed industry demand and dealer inventory reduction efforts pressured sales volumes in the region. Tractor sales growth due to new product introductions was mostly offset by sales declines in hay tools, sprayers and grain storage equipment. Net sales grew in South America in 2017 compared to 2016. The increase was driven by robust demand in Argentina as well as modest growth in Brazil. In the EME region, net sales increased during 2017 compared to 2016, with growth strongest in the key markets of the United Kingdom, Germany and Italy. In the APA region, net sales increased in 2017 compared to 2016, primarily due to a growth in sales in China and Australia. We estimate that worldwide average price increases were approximately 1.1% and 1.5% in 2017 and 2016, respectively. Consolidated net sales of tractors and combines, which comprised approximately 62% of our net sales in 2017, increased approximately 13% in 2017 compared to 2016. Unit sales of tractors and combines increased approximately 3.6% during 2017 compared to 2016. The unit sales increase and the increase in net sales can differ due to foreign currency translation, pricing and sales mix changes.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years ended December 31, 2017 and 2016, the percentage relationship to net sales of certain items included in our Consolidated Statements of Operations (in millions,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4"/>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Net Sales</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sales increased during 2017 compared to 2016, primarily due to higher sales and production volumes, reduced warranty costs and the benefits from material cost containment and productivity initiatives. Production hours increased approximately 3% during 2017 compared to 2016. We recorded stock compensation expense of approximately $2.8 million and $1.5 million during 2017 and 2016, respectively, within cost of goods sold, as is more fully explained in Note 10 of our Consolidated Financial Statements.</w:t>
      </w:r>
    </w:p>
    <w:p>
      <w:pPr>
        <w:spacing w:after="0" w:line="180"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SG&amp;A expenses and engineering expenses increased in dollars but were relatively flat as a percentage of net sales during 2017 compared to 2016. The increases in SG&amp;A and engineering expenses were primarily the result of labor cost increases and the impact of acquisitions as well as negative foreign currency translation impacts during 2017. Engineering expenses also increased during 2016 to support investments in future new product introductions. We recorded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compensation expense of approximately $35.6 million and $16.9 million during 2017 and 2016, respectively, within SG&amp;A expenses, as is more fully explained in Note 10 of our Consolidated Financial Statements.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recorded restructuring expenses of approximately $11.2 million and $11.9 million during 2017 and 2016, respectively. The restructuring expenses recorded in 2017 and 2016 primarily related to severance and related costs associated with the rationalization of employee headcount at various manufacturing facilities and administrative offices located in Europe, China, South America and the United States.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was $45.1 million for 2017 compared to $52.1 million for 2016. See “Liquidity and Capital Resources” for further information.</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Other expense, net was $75.5 million in 2017 compared to $30.0 million in 2016. Losses on sales of receivables, primarily related to our accounts receivable sales agreements with our finance joint ventures in North America, Europe and Brazil, were approximately $39.2 million and $19.5 million in 2017 and 2016, respectively, due to an increase in the volume of receivables sold during 2017 as compared to 2016. In addition, higher hedging costs and foreign exchange losses in 2017 as compared to 2016 contributed to the increase in other expense, net.</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recorded an income tax provision of $133.6 million in 2017 compared to $92.2 million in 2016. Our tax provision and effective tax rate are impacted by the differing tax rates of the various tax jurisdictions in which we operate, permanent differences for items treated differently for financial accounting and income tax purposes and for losses in jurisdictions where no income tax benefit is recorded. During 2017, we recorded a tax provision of approximately $42.0 million resulting from an estimate of the impact of the U.S. tax reform legislation enacted on December 22, 2017. During 2016, we recorded a non-cash deferred tax adjustment to establish a valuation allowance against our U.S. net deferred income tax assets. A valuation allowance is established when it is more likely than not that some portion or all of a company’s deferred tax assets will not be realized. We assessed the likelihood that our deferred tax assets would be recovered from estimated future taxable income and available income tax planning strategies at that time and concluded a valuation allowance should be established. At December 31, 2017 and 2016, we had gross deferred tax assets of $354.9 million and $447.4 million, respectively, including $83.4 million and $85.5 million, respectively, related to net operating loss carryforwards. At December 31, 2017, we had total valuation allowances as an offset to our gross deferred tax assets of approximately $81.9 million, which included allowances against net operating loss carryforwards in Brazil, China, Russia and the Netherlands, as well as allowances against our net deferred taxes in the U.S., as previously discussed. At December 31, 2016, we had total valuation allowances as an offset to the gross deferred tax assets of approximately $116.0 million, primarily related to net operating loss carryforwards in Brazil, China, Russia and the Netherlands, as well as allowances against our net deferred taxes in the U.S.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Equity in net earnings of affiliates, which is primarily comprised of income from our finance joint ventures, was $39.1 million in 2017 compared to $47.5 million in 2016 primarily due to lower net earnings from certain finance joint ventures and other affiliates. Refer to “Finance Joint Ventures” for further information regarding our finance joint ventures and their results of operations and to Note 5 of our Consolidated Financial Statements.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unaudited interim operating results. We believe that the following information includes all adjustments, consisting only of normal recurring adjustments, necessary to present fairly our results of operations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2,592.2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428.0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556.3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473.7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common share attributable to AGCO Corporation and</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subsidiaries — diluted</w:t>
            </w:r>
          </w:p>
        </w:tc>
        <w:tc>
          <w:tcPr>
            <w:tcW w:w="2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1,986.3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2,527.4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330.3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428.6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531.0</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91.6</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AGCO Corporation and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91.5</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per common share attributable to AGCO</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Corporation and subsidiaries — diluted</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0.76</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Joint Ventures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AGCO Finance joint ventures provide both retail financing and wholesale financing to our dealers in the United States, Canada, Europe, Brazil,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 and Australia. The joint ventures are owned by AGCO and by a wholly-owned subsidiary of Rabobank, a financial institution based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 The majority of the assets of the finance joint ventures consist of finance receivables. The majority of the liabilities consist of notes payable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Under the various joint venture agreements, Rabobank or its affiliates provide financing to the finance joint ventures, primarily through 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credit. We do not guarantee the debt obligations of the joint ventures. As of December 31, 2018, our capital investment in the finance joint ventures,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included in “Investment in affiliates” on our Consolidated Balance Sheets, was approximately $358.7 million compared to $373.7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The total finance portfolio in our finance joint ventures was approximately $8.8 billion as of December 31, 2018 and 2017,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finance portfolio as of December 31, 2018 and 2017 included approximately $7.2 billion and $7.3 billion, respectively, of retail receivables and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and $1.5 billion, respectively, of wholesale receivables from AGCO dealers. The wholesale receivables either were sold directly to AGCO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recourse from our operating companies or AGCO Finance provided the financing directly to the dealers. During 2018 and 2017, we did not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investments in our finance joint ventures. During 2018 and 2017, we received dividends of approximately $29.4 million and $78.5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from certain of our finance joint ventures. Our share in the earnings of the finance joint ventures, included in “Equity in net earnings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within our Consolidated Statements of Operations, was $34.7 million and $39.1 million for the years ended December 31, 2018 and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with the decrease in earnings primarily due to lower income in the U.S. and Brazilian finance joint ventures during 2018 as compared to 2017.</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operations are subject to the cyclical nature of the agricultural industry. Sales of our equipment have been and are expected to continue to be affected by changes in net cash farm income, farm land values, weather conditions, the demand for agricultural commodities, farm industry related legislation and policies, availability of financing and general economic conditions.</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Global industry demand is projected to improve modestly during 2019. Our net sales are expected to increase in 2019 compared to 2018, primarily due to improved sales volumes and positive pricing impacts, offset by unfavorable foreign currency translation. Gross and operating margins are expected to improve from 2018 levels, reflecting the positive impact of pricing and cost reduction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October 2, 2017, we acquired the forage division of the Lely Group (“Lely”) for approximately €80.2 million (or approximately $94.6 million), net of cash acquired of approximately €10.1 million (or approximately $11.9 million). The Lely acquisition, with manufacturing locations in northern Germany, allowed the Company to expand its product offering of hay and forage equipment, including balers, loader wagons and other harvesting tools. The acquisition was financed through our credit facility (see Note 7 of our Consolidated Financial Statements for further information). We allocated the purchase price to the assets acquired and liabilities assumed based on their fair values as of the acquisition date. The acquired net assets primarily consisted of accounts receivable, inventories, accounts payable and accrued expenses, property, plant and equipment, and customer relationship, technology and trademark indentifiable intangible assets. We recorded approximately $7.6 million of customer relationship, technology and trademark identifiable intangible assets and approximately $25.8 million of goodwill associated with the acquisition.</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September 1, 2017, we acquired Precision Planting LLC (“Precision Planting”) for approximately $198.1 million, net of cash acquired of approximately $1.6 million. Precision Planting, headquartered in Tremont, Illinois, is a leading manufacturer of high-tech planting equipment. The acquisition of Precision Planting provided us an opportunity to expand our precision farming technology offerings on a global basis. The acquisition was financed through our credit facility (see Note 7 of our Consolidated Financial Statements for further information). We allocated the purchase price to the assets acquired and liabilities assumed based on their fair values as of the acquisition date. The acquired assets primarily consisted of accounts receivable, inventories, accounts payable and accrued expenses, property, plant and equipment, and customer relationship, technology and trademark identifiable intangible assets. We recorded approximately $64.4 million of customer relationship, technology and trademark identifiable intangible assets and approximately $67.2 million of goodwill associated with the acquisition.</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September 12, 2016, we acquired Cimbria Holdings Limited (“Cimbria”) for DKK 2,234.9 million (or approximately $337.5 million), net of cash acquired of approximately DKK 83.4 million (or approximately $12.6 million). Cimbria, headquartered in Thisted, Denmark, is a leading manufacturer of products and solutions for the processing, handling and storage of seed and grain. The acquisition was financed through our credit facility (see Note 7 of our Consolidated Financial Statements for further information). We allocated the purchase price to the assets acquired and liabilities assumed based on their fair values as of the acquisition date. The acquired assets primarily consisted of accounts receivable, inventories, accounts payable and accrued expenses, customer advances, property, plant and equipment, and customer relationship, technology and trademark identifiable intangible assets. We recorded approximately $128.9 million of customer relationship, technology and trademark identifiable intangible assets and approximately $237.9 million of goodwill associated with the acquisition.</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February 2, 2016, we acquired Tecno Poultry Equipment S.p.A (“Tecno”) for approximately €58.7 million (or approximately $63.8 million). We acquired cash of approximately €17.6 million (or approximately $19.1 million) associated with the acquisition. Tecno, headquartered in Ronchi Di Villafranca, Italy, manufactures and supplies poultry housing and related products, including egg collection equipment and trolley feeding systems. The acquisition was financed through our credit facility (refer to Note 7 of our Consolidated Financial Statements for further information). We allocated the purchase price to the assets acquired and liabilities assumed based on their fair values as of the acquisition date. The acquired net assets primarily consisted of accounts receivable, inventories, accounts payable and accrued expenses, deferred revenue, property, plant and equipment and customer relationship, technology and trademark identifiable intangible assets. We recorded approximately $27.5 million of customer relationship, technology and trademark identifiable intangible assets and approximately $20.4 million of goodwill associated with the acquisition.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financing requirements are subject to variations due to seasonal changes in inventory and receivable levels. Internally generated funds are supplemented when necessary from external sources, primarily our credit facility and accounts receivable sales agreement facilities. We believe that the following facilities, together with available cash and internally generated funds, will be sufficient to support our working capital, capital expenditures and debt service requirements for the foreseeable future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term loan due 2022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facility, expires 2023</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term loans due between 2019 and 2028</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815.3</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1.056% Senior term loan due 2020</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2018, we entered into a term loan agreement with Rabobank in the amount of €150.0 million (or approximately $171.5 million as of December 31, 2018). We have the ability to prepay the term loan before its maturity date on October 28, 2022. Interest is payable on the term loan quarterly in arrears at an annual rate equal to the EURIBOR plus a margin ranging from 0.875% to 1.875% based on our credit rating. We also have to fulfill financial covenants with respect to a total debt to EBITDA ratio and an interest coverage ratio. In connection with this new term loan agreement, in October 2018, we repaid our €100.0 million (or approximately $113.2 million) term loan outstanding under a former term loan agreement with Rabobank that was entered into in April 2016.</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 multi-currency revolving credit facility of $800.0 million. The maturity date of the credit facility is October 17, 2023. Interest accrues on amounts outstanding under the credit facility, at our option, at either (1) LIBOR plus a margin ranging from 0.875% to 1.875% based on our credit rating, or (2) the base rate, which is equal to the higher of (i) the administrative agent’s base lending rate for the applicable currency, (ii) the federal funds rate plus 0.5%, and (iii) one-month LIBOR for loans denominated in U.S. dollars plus 1.0%, plus a margin ranging from 0.0% to 0.875% based on our credit rating. The credit facility contains covenants restricting, among other things, the incurrence of indebtedness and the making of certain payments, including dividends. We also have to fulfill financial covenants with respect to a total debt to EBITDA ratio and an interest coverage ratio. In connection with the closing of this new credit facility in October 2018, we repaid our outstanding €312.0 million (or approximately $360.8 million) term loan under our former revolving credit and term loan facility. We recorded approximately $0.9 million associated with the write-off of deferred debt issuance costs associated with the repayment. In addition, we recorded a loss of approximately $3.9 million related to the termination of our interest rate swap instrument associated with the former facility’s term loan.</w:t>
      </w:r>
    </w:p>
    <w:p>
      <w:pPr>
        <w:spacing w:after="0" w:line="18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August 2018, we borrowed an additional aggregate amount of indebtedness of €338.0 million (or approximately $394.7 million) through a group of seven related term loan agreements. Proceeds from the borrowings were used to repay borrowings under our former revolving credit facility. The provisions of the term loan agreements are identical in nature with the exception of interest rate terms and maturities. The maturities of the term loan agreements range from August 1, 2021 to August 1, 2028.</w:t>
      </w:r>
    </w:p>
    <w:p>
      <w:pPr>
        <w:spacing w:after="0" w:line="180"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In October 2016, we borrowed an aggregate amount of €375.0 million through a group of seven related term loan agreements. These agreements have maturities ranging from October 2019 to October 2026. Of those term loans, an aggregate amount of €55.8 million (or $63.8 million) as of December 31, 2018 have maturity dates of October 2019.</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May 2018, we completed a cash tender offer to purchase any and all of our outstanding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at a cash purchase price of $1,077.50</w:t>
      </w:r>
    </w:p>
    <w:p>
      <w:pPr>
        <w:spacing w:after="0"/>
        <w:rPr>
          <w:sz w:val="20"/>
          <w:szCs w:val="20"/>
          <w:color w:val="auto"/>
        </w:rPr>
      </w:pPr>
      <w:r>
        <w:rPr>
          <w:rFonts w:ascii="Times New Roman" w:cs="Times New Roman" w:eastAsia="Times New Roman" w:hAnsi="Times New Roman"/>
          <w:sz w:val="18"/>
          <w:szCs w:val="18"/>
          <w:color w:val="auto"/>
        </w:rPr>
        <w:t>per $1,000.00 of senior notes. As a result of the tender offer, we repurchased approximately $185.9 million of principal amount of the senior notes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$200.3 million, plus accrued interest. The repurchase resulted in a loss on extinguishment of debt of approximately $15.7 million,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fees. In October 2018, we repurchased the remaining principal amount of the senior notes of approximately $114.1 million for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$122.5 million, plus accrued interest. The repurchase resulted in a loss on extinguishment of debt of approximately $8.8 million, including associated fees. As</w:t>
      </w:r>
    </w:p>
    <w:p>
      <w:pPr>
        <w:spacing w:after="0" w:line="200" w:lineRule="auto"/>
        <w:rPr>
          <w:sz w:val="20"/>
          <w:szCs w:val="20"/>
          <w:color w:val="auto"/>
        </w:rPr>
      </w:pPr>
      <w:r>
        <w:rPr>
          <w:rFonts w:ascii="Times New Roman" w:cs="Times New Roman" w:eastAsia="Times New Roman" w:hAnsi="Times New Roman"/>
          <w:sz w:val="18"/>
          <w:szCs w:val="18"/>
          <w:color w:val="auto"/>
        </w:rPr>
        <w:t>a result of the repurchase of the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we recorded a cumulative amount of approximately $4.7 million of accelerated amortization of a deferred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related to a terminated interest rate swap instrument associated with the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senior notes. The losses on extinguishment as well as the accelerated amortization were reflected in “Interest expense, net,” for the year ended December 31, 2018.</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December 2018, we entered into a term loan agreement with the European Investment Bank (“EIB”), which provided us with the ability to borrow up to €250.0 million. The €250.0 million (or approximately $284.6 million) of funding was received on January 25, 2019 with a maturity date of January 24, 2025. We have the ability to prepay the term loan before its maturity date. Interest is payable on the term loan at 1.002% per annum, payable semi-annually in arrears. We have another term loan with the EIB in the amount of €200.0 million (or approximately $228.7 million as of December 31, 2018) that was entered into in December 2014. It has a maturity date of January 15, 2020.</w:t>
      </w:r>
    </w:p>
    <w:p>
      <w:pPr>
        <w:spacing w:after="0" w:line="18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While we are in compliance with the financial covenants contained in these facilities and currently expect to continue to maintain such compliance, should we ever encounter difficulties, our historical relationship with our lenders has been strong and we anticipate their continued long-term support of our business. Refer to Note 7 to the Consolidated Financial Statements for further information regarding our current facilities.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accounts receivable sales agreements in North America, Europe and Brazil permit the sale, on an ongoing basis, of a majority of our receivables in North America, Europe and Brazil to our U.S., Canadian, European and Brazilian finance joint ventures. The sale of all receivables are without recourse to us. We do not service the receivables after the sale occurs, and we do not maintain any direct retained interest in the receivables. These agreements are accounted for as off-balance sheet transactions and have the effect of reducing accounts receivable and short-term liabilities by the same amount. As of December 31, 2018 and 2017, the cash received from receivables sold under the U.S., Canadian, European and Brazilian accounts receivable sales agreements was approximately $1.4 billion and $1.3 billion,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finance joint ventures in Europe, Brazil and Australia also provide wholesale financing directly to our dealers. The receivables associated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also are without recourse to us. As of December 31, 2018 and 2017, these finance joint ventures had approximately $82.5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 million, respectively, of outstanding accounts receivable associated with these arrangements. These arrangements are accounted for as off-balance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 addition, we sell certain trade receivables under factoring arrangements to other financial institutions around the world. These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are accounted for as off-balance sheet transactions.</w:t>
      </w:r>
    </w:p>
    <w:p>
      <w:pPr>
        <w:spacing w:after="0" w:line="207"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Our debt to capitalization ratio, which is total indebtedness divided by the sum of total indebtedness and stockholders’ equity, was 32.8% at December 31, 2018 compared to 35.7% at December 31, 2017.</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were $595.9 million during 2018 compared to $577.6 million during 2017 and $369.5 million during 2016. The increase during 2018 was primarily due to an increase in net income as well as an increase in accrued expenses, offset by an increase in inventories. In addition, we received a decreased amount of dividends from our finance joint ventures in 2018 as compared to 2017. The increase in cash flows provided by operating activities during 2017 as compared to 2016 was primarily due to an increase in net income as well as an increase in accounts payable and accrued expenses, offset by an increase in inventories.</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are seasonal, with investments in working capital typically building in the first half of the year and then reducing in the second half of the year. We had $770.7 million in working capital at December 31, 2018, as compared with $977.1 million at December 31, 2017. Accounts receivable and inventories, combined, at December 31, 2018 were $103.3 million lower than at December 31, 2017. Excluding the negative impact of currency translation, inventories increased as of December 31, 2018 as compared to December 31, 2017 as a result of acquisition impacts, higher production and increased inventory required to transition production to products meeting new emissions standards in Europe and Brazil.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2018 and 2016, we repurchased 3,120,184 and 4,413,250 shares of our common stock, respectively, for approximately $184.3 million and $212.5 million, respectively, either through Accelerated Share Repurchase (“ASR”) agreements with financial institutions or through open market transactions. During 2017, we received approximately 70,464 shares associated with the remaining balance of shares to be delivered under an ASR agreement that was completed in November 2016. All shares received under the ASR agreements were retired upon receipt, and the excess of the purchase price over par value per share was recorded to “Additional paid-in capital” within the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2019, we entered into an ASR agreement with a financial institution to repurchase an aggregate of $30.0 million shares of our common stock. We received approximately 379,927 shares to date in this transaction. The specific number of shares we will ultimately repurchase will be determined at the completion of the term of the ASR based on the daily volume-weighted average share price of our common stock less an agreed-upon discount. Upon settlement of the ASR, we may be entitled to receive additional shares of common stock or, under certain circumstances, be required to remit a settlement amount. We expect that additional shares will be received by us upon final settlement of our current ASR agreement, which expires during the second quarter of 2019. All shares received under the ASR agreement discussed above were retired upon receipt and the excess of the purchase price over par value per share was recorded to “Additional paid-in capital” within our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future payments required under our significant contractual obligations, excluding foreign currency option and forward contracts, 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 are as follows (in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Payments Due By Period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2024 and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2020 to 2021</w:t>
            </w: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2022 to 2023</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Beyond</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Indebtedness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Interest payments related to indebtedness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 short-term and long-term obligations</w:t>
            </w:r>
            <w:r>
              <w:rPr>
                <w:rFonts w:ascii="Times New Roman" w:cs="Times New Roman" w:eastAsia="Times New Roman" w:hAnsi="Times New Roman"/>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Commitment Expiration Per Period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2024 and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2020 to 2021</w:t>
            </w: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2022 to 2023</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Beyond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Standby letters of credit and similar instruments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Guarantees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commercial commitments and letters of credit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amounts reflect the principal amount of our senior term loan, senior notes and credit facility.</w:t>
      </w:r>
    </w:p>
    <w:p>
      <w:pPr>
        <w:spacing w:after="0" w:line="17" w:lineRule="exact"/>
        <w:rPr>
          <w:rFonts w:ascii="Times New Roman" w:cs="Times New Roman" w:eastAsia="Times New Roman" w:hAnsi="Times New Roman"/>
          <w:sz w:val="14"/>
          <w:szCs w:val="14"/>
          <w:color w:val="auto"/>
        </w:rPr>
      </w:pPr>
    </w:p>
    <w:p>
      <w:pPr>
        <w:ind w:left="340" w:right="40" w:hanging="332"/>
        <w:spacing w:after="0" w:line="24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payments are calculated assuming current interest rates over minimum maturity periods specified in debt agreements. Debt may be repaid sooner or later than such minimum maturity periods.</w:t>
      </w:r>
    </w:p>
    <w:p>
      <w:pPr>
        <w:jc w:val="both"/>
        <w:ind w:left="340" w:right="320" w:hanging="332"/>
        <w:spacing w:after="0" w:line="250"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short-term and long-term obligations include estimates of future minimum contribution requirements under our U.S. and non-U.S. defined benefit pension and postretirement plans. These estimates are based on current legislation in the countries we operate within and are subject to change. Other short-term and long-term obligations also include income tax liabilities related to uncertain income tax positions connected with ongoing income tax audits in various jurisdictions.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Off-Balance Sheet Arrangements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We maintain a remarketing agreement with our finance joint venture in the United States, whereby we are obligated to repurchase up to $6.0 million of repossessed equipment each calendar year. We believe that any losses that might be incurred on the resale of this equipment will not materially impact our financial position or results of operations, due to the fact that the repurchase obligation would be equivalent to the fair value of the underlying equipment.</w:t>
      </w:r>
    </w:p>
    <w:p>
      <w:pPr>
        <w:spacing w:after="0" w:line="15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At December 31, 2018, we guaranteed indebtedness owed to third parties of approximately $40.6 million, primarily related to dealer and end-user financing of equipment. Such guarantees generally obligate us to repay outstanding finance obligations owed to financial institutions if dealers or end users default on such loans through 2023. Losses under such guarantees historically have been insignificant. In addition, we generally would expect to be able to recover a significant portion of the amounts paid under such guarantees from the sale of the underlying financed farm equipment, as the fair value of such equipment is expected to offset a substantial portion of the amounts paid. We believe the credit risk associated with these guarantees is not material to our financial position or results of operations.</w:t>
      </w:r>
    </w:p>
    <w:p>
      <w:pPr>
        <w:spacing w:after="0" w:line="18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at December 31, 2018, we had accrued approximately $13.6 million of outstanding guarantees of minimum residual values that may be owed to our finance joint ventures in the United States and Canada due upon expiration of certain eligible operating leases between the finance joint ventures and end users.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104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2018, we had outstanding designated and non-designated foreign exchange contracts with a gross notional amount of approximately $1,462.8 million. The outstanding contracts as of December 31, 2018 range in maturity through December 2018.</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discussed in “Liquidity and Capital Resources,” we sell a majority of our wholesale accounts receivable in North America, Europe and Brazil to our U.S., Canadian, European and Brazilian finance joint ventures. We also sell certain accounts receivable under factoring arrangements to financial institutions around the world. We have determined that these facilities should be accounted for as off-balance sheet transactions.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We are party to various claims and lawsuits arising in the normal course of business. We closely monitor these claims and lawsuits and frequently consult with our legal counsel to determine whether they may, when resolved, have a material adverse effect on our financial position or results of operations and accrue and/or disclose loss contingencies as appropriate (see Note 12 of our Consolidated Financial Statements and Item 3, “Legal Proceedings”).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Rabobank is a 51% owner in our finance joint ventures. See “Finance Joint Ventures.” Rabobank is also the principal agent and participant in our credit facility.</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finance joint ventures provide retail and wholesale financing to our dealers. In addition, we transfer, on an ongoing basis, a majority of our wholesale receivables in North America, Europe and Brazil to our U.S., Canadian, European and Brazilian finance joint ventures. See Note 4 of our Consolidated Financial Statements for further discussion of these agreements. We maintain a remarketing agreement with our U.S. finance joint venture, AGCO Finance LLC, as discussed above under “Commitments and Off-Balance Sheet Arrangements.” In addition, as part of sales incentives provided to end users, we may from time to time subsidize interest rates of retail financing provided by our finance joint ventures. The cost of those programs is recognized at the time of sale to our dealers.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TAFE, in which we hold a 23.75% interest, manufactures and sells Massey Ferguson-branded equipment primarily in India, and also supplies tractors and components to us for sale in other markets. Mallika Srinivasan, who is the Chairman and Chief Executive Officer of TAFE, is currently a member of our Board of Directors. As of December 31, 2018, TAFE owned 12,150,152 shares of our common stock. We and TAFE are parties to an agreement pursuant to which, among other things, TAFE has agreed not to purchase in excess of 12,170,290 shares of our common stock, subject to certain adjustments, and we have agreed to annually nominate a TAFE representative to our Board of Directors. During 2018, 2017 and 2016, we purchased approximately $109.6 million, $102.0 million and $128.5 million, respectively, of tractors and components from TAFE. During</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2018, 2017 and 2016, we sold approximately $1.8 million, $1.2 million and $1.1 million, respectively, of parts to TAFE. We received dividends from TAFE of approximately $1.8 million, during both 2018 and 2017, and $1.6 million during 2016.</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2018, 2017 and 2016, we paid approximately $3.5 million, $7.2 million and $3.1 million, respectively, to PPG Industries, Inc. for painting materials used in our manufacturing processes. Our Chairman, President and Chief Executive Officer is currently a member of the board of directors of PPG Industries, Inc.</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2018, 2017 and 2016, we paid approximately $1.6 million, $1.5 million and $2.0 million, respectively, to Praxair, Inc. for propane, gas and welding, and laser consumables used in our manufacturing processes. Our Chairman, President and Chief Executive Officer is currently a member of the board of directors of Praxair,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 Management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significant manufacturing operations in the United States, France, Germany, Finland and Brazil, and we purchase a portion of our tractors, combines and components from third-party foreign suppliers, primarily in various European countries and in Japan. We also sell products in approximately 140 countries throughout the world. The majority of our net sales outside the United States are denominated in the currency of the customer location, with the exception of sales in the Middle East, Africa, Asia and parts of South America, where net sales are primarily denominated in British pounds, Euros or United States dollars. See Note 16 of our Consolidated Financial Statements for net sales by customer location. Our most significant transactional foreign currency exposures are the Euro, the Brazilian real and the Canadian dollar in relation to the United States dollar, and the Euro in relation to the British pound. Fluctuations in the value of foreign currencies create exposures, which can adversely affect our results of operations.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attempt to manage our transactional foreign currency exposure by hedging foreign currency cash flow forecasts and commitments arising from the anticipated settlement of receivables and payables and from future purchases and sales. Where naturally offsetting currency positions do not occur, we hedge certain, but not all, of our exposures through the use of foreign currency contracts. Our translation exposure resulting from translating the financial statements of foreign subsidiaries into United States dollars is not hedged. Our most significant translation exposures are the Euro, the British pound and the Brazilian real in relation to the United States dollar. When practical, this translation impact is reduced by financing local operations with local borrowings. Our hedging policy prohibits use of foreign currency contracts for speculative trading purposes.</w:t>
      </w:r>
    </w:p>
    <w:p>
      <w:pPr>
        <w:spacing w:after="0" w:line="18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All derivatives are recognized on our Consolidated Balance Sheets at fair value. On the date a derivative contract is entered into, we designate the derivative as either (1) a cash flow hedge of a forecasted transaction, (2) a fair value hedge of a recognized liability, (3) a hedge of a net investment in a foreign operation, or (4) a non-designated derivative instrument. We currently engage in derivatives that are cash flow hedges of forecasted transactions as well as non-designated derivative instruments. The total notional value of our foreign currency instruments was $1,462.8 million and $1,798.2 million as of December 31, 2018 and 2017, inclusive of both those instruments that are designated and qualified for hedge accounting and non-designated derivative instruments. We also enter into derivative and non-derivative instruments to hedge a portion of our net investment in foreign operations against adverse movements in exchange rates. Refer to Note 11 of our Consolidated Financial Statements for additional information about our hedging transactions and derivative financial instruments.</w:t>
      </w:r>
    </w:p>
    <w:p>
      <w:pPr>
        <w:spacing w:after="0" w:line="18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Assuming a 10% change relative to the currency of the hedge contracts, the fair value of the foreign currency instruments could be negatively impacted by approximately $27.1 million as of December 31, 2018. Due to the fact that these instruments are primarily entered into for hedging purposes, the gains or losses on the contracts would largely be offset by losses and gains on the underlying firm commitment or forecasted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interest expense is, in part, sensitive to the general level of interest rates. We manage our exposure to interest rate risk through our mix of floating rate and fixed rate debt. From time to time, we enter into interest rate swap agreements to manage our exposure to interest rate fluctuations. Refer to Notes 7 and 11 of our Consolidated Financial Statements for additional information about our interest rate swap agreements.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our floating rate debt and our accounts receivable sales facilities outstanding at December 31, 2018, a 10% increase in interest rates, would have increased, collectively, “Interest expense, net” and “Other expense, net” for the year ended December 31, 2018 by approximately $5.1 million.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21" w:right="2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See Note 1 of our Consolidated Financial Statements for more information regarding recent accounting pronouncements and their impact to our consolidated results of operations and financial position.</w:t>
      </w: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7" w:lineRule="exact"/>
        <w:rPr>
          <w:sz w:val="20"/>
          <w:szCs w:val="20"/>
          <w:color w:val="auto"/>
        </w:rPr>
      </w:pPr>
    </w:p>
    <w:p>
      <w:pPr>
        <w:jc w:val="both"/>
        <w:ind w:right="260" w:firstLine="648"/>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generally accepted accounting principles. In the preparation of these financial statements, we make judgments, estimates and assumptions that affect the reported amounts of assets and liabilities, the disclosure of contingent assets and liabilities at the date of the financial statements and the reported amounts of revenues and expenses during the reporting period. The significant accounting policies followed in the preparation of the financial statements are detailed in Note 1 of our Consolidated Financial Statements. We believe that our application of the policies discussed below involves significant levels of judgment, estimates and complexity.</w:t>
      </w:r>
    </w:p>
    <w:p>
      <w:pPr>
        <w:spacing w:after="0" w:line="184"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Due to the levels of judgment, complexity and period of time over which many of these items are resolved, actual results could differ from those estimated at the time of preparation of the financial statements. Adjustments to these estimates would impact our financial position and future results of operations.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Discount and Sales Incentive Allowances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provide various volume bonus and sales incentive programs with respect to our products. These sales incentive programs include reductions in invoice prices, reductions in retail financing rates, dealer commissions and dealer incentive allowances. In most cases, incentive programs are established and communicated to our dealers on a quarterly basis. The incentives are paid either at the time of the cash settlement of the receivable (which is generally at the time of retail sale), at the time of retail financing, at the time of warranty registration, or at a subsequent time based on dealer purchase volumes. The incentive programs are product line specific and generally do not vary by dealer. The cost of sales incentives associated with dealer commissions and dealer incentive allowances is estimated based upon the terms of the programs and historical experience, is based on a percentage of the sales price, and estimates for sales incentives are made and recorded at the time of sale for existing incentive programs using the expected value method. These estimates are reassessed each reporting period and are revised in the event of subsequent modifications to incentive programs, as they are communicated to dealers. The related provisions and accruals are made on a product or product-line basis and are monitored for adequacy and revised at least quarterly in the event of subsequent modifications to the programs. Interest rate subsidy payments, which are a reduction in retail financing rates, are recorded in the same manner as dealer commissions and dealer incentive allowances. Volume discounts are estimated and recognized based on historical experience, and related reserves are monitored and adjusted based on actual dealer purchase volumes and the dealers’ progress towards achieving specified cumulative target levels. Estimates of these incentives are based on the terms of the programs and historical experience. All incentive programs are recorded and presented as a reduction of revenue, due to the fact that we do not receive a distinct good or service in exchange for the consideration provided. In the United States and Canada, reserves for incentive programs related to accounts receivable not sold to our U.S. and Canadian finance joint ventures are recorded as “accounts receivable allowances” within our Consolidated Balance Sheets due to the fact that the incentives are paid through a reduction of future cash settlement of the receivable. Globally, reserves for incentive programs that will be paid in cash or credit memos, as is the case with most of our volume discount programs, as well as sales incentives associated with accounts receivable sold to our finance joint ventures, are recorded within “Accrued expenses” within our Consolidated Balance Sheets.</w:t>
      </w:r>
    </w:p>
    <w:p>
      <w:pPr>
        <w:spacing w:after="0" w:line="19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At December 31, 2018, we had recorded an allowance for discounts and sales incentives of approximately $561.9 million that will be paid either through a reduction of future cash settlements of receivables and through credit memos to our dealers or through reductions in retail financing rates paid to our finance joint ventures. If we were to allow an additional 1% of sales incentives and discounts at the time of retail sale for those sales subject to such discount programs, our reserve would increase by approximately $19.7 million as of December 31, 2018. Conversely, if we were to decrease our sales incentives and discounts by 1% at the time of retail sale, our reserve would decrease by approximately $19.7 million as of December 31, 2018.</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 and Uncertain Income Tax Positions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recorded an income tax provision of $110.9 million in 2018 compared to $133.6 million in 2017 and $92.2 million in 2016. Our tax provision and effective tax rate is impacted by the differing tax rates of the various tax jurisdictions in which we operate, permanent differences for items treated differently for financial accounting and income tax purposes, and for losses in jurisdictions where no income tax benefit is recorded.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December 22, 2017, the Tax Cuts and Jobs Act (“the 2017 Tax Act”) was enacted in the United States. During the three months ended December 31, 2017, we recorded a tax provision of approximately $42.0 million in accordance with Staff Accounting Bulletin No. 118, which provided SEC Staff guidance for the application of Accounting Standards Codification (“ASC”) 740 “Income Taxes,” in the reporting period in which the 2017 Tax Act was enacted. The $42.0 million tax provision included a provisional income tax charge related to a one-time transition tax associated with the mandatory deemed repatriation of unremitted foreign earnings. The tax provision also included a provisional income tax charge associated with the income tax consequences related to the expected future repatriation of certain underlying foreign earnings, as historically, we have considered them to be permanently reinvested. The remaining balance of the tax provision primarily related to the remeasurement of certain net deferred tax assets using the lower enacted U.S. Corporate tax rate (from 35 percent to 21 percent), as well as other miscellaneous related impacts. During the three months ended December 31, 2018, we finalized our calculations related to the 2017 Tax Act and recorded an income tax benefit of approximately $8.5 million.</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2016, we established a valuation allowance to fully reserve our net deferred tax assets in the United States. A valuation allowance is established when it is more likely than not that some portion or all of the deferred tax assets will not be realized. We assessed the likelihood that our deferred tax assets would be recovered from estimated future taxable income and available tax planning strategies and determined that the adjustment to the valuation allowance was appropriate. In making this assessment, all available evidence was considered including the current economic climate, as well as reasonable tax planning strategies. We believe it is more likely than not that we will realize our remaining net deferred tax assets, net of the valuation allowance, in future years.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2018 and 2017, we had gross deferred tax assets of $350.2 million and $354.9 million, respectively, including $74.5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$83.4 million, respectively, related to net operating loss carryforwards. At December 31, 2018 and 2017, we had total valuation allowances as an offset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deferred tax assets of $83.9 million and $81.9 million, respectively, which included allowances against net operating loss carryforwards in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 the United Kingdom and the Netherlands, as well as allowances against our net deferred taxes in the U.S., as previously discussed. Realization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deferred tax assets as of December 31, 2018 will depend on generating sufficient taxable income in future periods, net of reversing deferred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We believe it is more likely than not that the remaining net deferred tax assets will be realized.</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2018 and 2017, we had approximately $166.1 million and $163.4 million, respectively, of unrecognized tax benefits, all of which would impact our effective tax rate if recognized. As of December 31, 2018 and 2017, we had approximately $58.5 million and $61.8 million, respectively, of current accrued taxes related to uncertain income tax positions connected with ongoing tax audits in various jurisdictions that we expect to settle or pay in the next 12 months. We recognize interest and penalties related to uncertain income tax positions in income tax expense. As of December 31, 2018 and 2017, we had accrued interest and penalties related to unrecognized tax benefits of approximately $27.2 million and $23.0 million, respectively. See Note 6 of our Consolidated Financial Statements for further discussion of our uncertain income tax positions.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Pensions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sponsor defined benefit pension plans covering certain employees, principally in the United Kingdom, the United States, Germany, Switzerland, Finland, France, Norway and Argentina. Our primary plans cover certain employees in the United States and the United Kingdom.</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we sponsor a funded, qualified defined benefit pension plan for our salaried employees, as well as a separate funded qualified defined benefit pension plan for our hourly employees. Both plans are closed to new entrants and frozen, and we fund at least the minimum contributions required under the Employee Retirement Income Security Act of 1974 and the Internal Revenue Code to both plans. In addition, we maintain an unfunded, nonqualified defined benefit pension plan for certain U.S.-based senior executives, which is our Executive Nonqualified Pension Plan (“ENPP”). The ENPP is also closed to new entrants.</w:t>
      </w:r>
    </w:p>
    <w:p>
      <w:pPr>
        <w:spacing w:after="0" w:line="184"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the United Kingdom, we sponsor a funded defined benefit pension plan that provides an annuity benefit based on participants’ final average earnings and service. Participation in this plan is limited to certain older, longer service employees and existing retirees. This plan is closed to new participants.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of our Consolidated Financial Statements for more information regarding costs and assumptions for employee retirement benefits.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The measurement date for all of our benefit plans is December 31. The measurement of our pension obligations,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is dependent on a variety of assumptions provided by management and used by our actuaries. These assumptions include estimates of the present value of projected future pension payments to all plan participants, taking into consideration the likelihood of potential future events such as salary increases and demographic experience. These assumptions may have an effect on the amount and timing of future contributions.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Assumptions and Approach Used. </w:t>
      </w:r>
      <w:r>
        <w:rPr>
          <w:rFonts w:ascii="Times New Roman" w:cs="Times New Roman" w:eastAsia="Times New Roman" w:hAnsi="Times New Roman"/>
          <w:sz w:val="18"/>
          <w:szCs w:val="18"/>
          <w:color w:val="auto"/>
        </w:rPr>
        <w:t>The assumptions used in developing the required estimates include, but are not limited to, the following key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Discount rates</w:t>
            </w: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Inflation</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Salary growth</w:t>
            </w:r>
          </w:p>
        </w:tc>
        <w:tc>
          <w:tcPr>
            <w:tcW w:w="41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  Expected return on plan assets</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Retirement rates and ages</w:t>
            </w: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Mortality rates</w:t>
            </w:r>
          </w:p>
        </w:tc>
      </w:tr>
    </w:tbl>
    <w:p>
      <w:pPr>
        <w:spacing w:after="0" w:line="225"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2018, 2017 and 2016, we used a globally consistent methodology to set the discount rate in the countries where our largest benefit obligations exist. In the United States, the United Kingdom and the Euro Zone, we constructed a hypothetical bond portfolio of high-quality corporate bonds and then applied the cash flows of our benefit plans to those bond yields to derive a discount rate. The bond portfolio and plan-specific cash flows vary by country, but the methodology in which the portfolio is constructed is consistent. In the United States, the bond portfolio is large enough to result in taking a “settlement approach” to derive the discount rate, in which high-quality corporate bonds are assumed to be purchased and the resulting coupon payments and maturities are used to satisfy our U.S. pension plans’ projected benefit payments. In the United Kingdom and the Euro Zone, the discount rate is derived using a “yield curve approach,” in which an individual spot rate, or zero coupon bond yield, for each future annual period is developed to discount each future benefit payment and, thereby, determine the present value of all future payments. The Company uses a spot yield curve to determine the discount rate applicable in the United Kingdom to measure the U.K. pension plan’s service cost and interest cost. Under the settlement and yield curve approaches, the discount rate is set to equal the single discount rate that produces the same present value of all future payments.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other key assumptions and methods were set as follows: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inflation assumption is based on an evaluation of external market indicators.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growth assumptions reflect our long-term actual experience, the near-term outlook and assumed inflation.</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 on plan asset assumptions reflects asset allocations, investment strategy, historical experience and the views of investment managers, and reflects a projection of the expected arithmetic returns over ten years.</w:t>
      </w:r>
    </w:p>
    <w:p>
      <w:pPr>
        <w:ind w:left="660" w:right="50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retirement rates and ages as well as termination rates, based on actual plan experience, actuarial standards of practice and the manner in which our defined benefit plans are being administered.</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mortality rates for the U.K. defined benefit pension plan was updated in 2018 to reflect expected improvements in the life expectancy of the plan participants. The mortality rates for the U.S. defined benefit pension plans were updated in 2018 to reflect the Society of Actuaries’ most recent findings on the topic of mortality.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assets used to determine the expected return on assets does not reflect any delayed recognition of asset gains and losses.</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effects of actual results differing from our assumptions are accumulated and amortized over future periods and, therefore, generally affect our recognized expense in such periods.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U.S. and U.K. defined benefit pension plans, including our ENPP, comprised approximately 85% of our consolidated projected benefit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as of December 31, 2018. If the discount rate used to determine the 2018 projected benefit obligation for our U.S. qualified defined benefit pension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and our ENPP was decreased by 25 basis points, our projected benefit obligation would have increased by approximately $3.7 million at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and our 2019 pension expense would increase by approximately $0.4 million. If the discount rate used to determine the 2018 projected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for our U.S. qualified defined benefit pension plans and our ENPP was increased by 25 basis points, our projected benefit obligation would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by approximately $3.5 million at December 31, 2018, and our 2019 pension expense would decrease by approximately $0.3 million. If the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used to determine the projected benefit obligation for our U.K. defined benefit pension plan was decreased by 25 basis points, our projected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would have increased by approximately $21.2 million at December 31, 2018, and our 2019 pension expense would increase by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If the discount rate used to determine the projected benefit obligation for our U.K. defined benefit pension plan was increased by 25 basis points,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projected benefit obligation would have decreased by approximately $20.5 million at December 31, 2018, and our 2019 pension expense would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approximately $0.2 million. In addition, if the expected long-term rate of return on plan assets related to our U.K. defined benefit pension plan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or decreased by 25 basis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points, our 2019 pension expense would decrease or increase by approximately $1.4 million each, respectively. The impact to our U.S. defined benefit pension plans for a 25-basis-point change in our expected long-term rate of return would decrease or increase our 2019 pension expense by approximately $0.1 million, respectively.</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Unrecognized actuarial net losses related to our defined benefit pension plans and ENPP were $356.7 million as of December 31, 2018 compared to $360.1 million as of December 31, 2017. The decrease in unrecognized net actuarial losses between years primarily resulted from higher discount rates at December 31, 2018 compared to December 31, 2017. The unrecognized net actuarial losses will be impacted in future periods by actual asset returns, discount rate changes, currency exchange rate fluctuations, actual demographic experience and certain other factors. For some of our defined benefit pension plans, these losses, to the extent they exceed 10% of the greater of the plan’s liabilities or the fair value of assets (“the gain/loss corridor”), will be amortized on a straight-line basis over the periods discussed as follows. For our U.S. salaried, U.S. hourly and U.K. defined benefit pension plans, the population covered is predominantly inactive participants, and losses related to those plans, to the extent they exceed the gain/loss corridor, will be amortized over the average remaining lives of those participants while covered by the respective plan. As of December 31, 2018, the average amortization period was 16 years for our U.S. defined benefit pension plans and 19 years for our U.K. defined benefit pension plan. For our ENPP, the population is predominantly active participants, and losses related to the plan will be amortized over the average future working lifetime of the active participants expected to receive benefits. As of December 31, 2018, the average amortization period was eight years for our ENPP. Unrecognized prior service cost related to our defined benefit pension plans was $19.5 million as of December 31, 2018 compared to $12.2 million as of December 31, 2017. The increase in the unrecognized prior service cost between years is primarily due to the newly required uniformity of guaranteed minimum pension benefits for men and women related to our U.K. defined benefit plan, which resulted in an estimation of increased benefits for prior participant service. The requirement was as a result of a judgment by the U.K. High Court in October 2018 which provided clarity on the need to provide uniformity of benefits. The cost of this estimated impact will be amortized over a straight-line basis over the average remaining service period of active employees expected to receive benefits, or the average remaining lives of inactive participants, covered by the U.K. defined benefit plan.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2018, our unfunded or underfunded obligations related to our defined benefit pension plans and ENPP were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$206.0 million, primarily related to our defined benefit pension plans in the United Kingdom and the United States. In 2018, we contributed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$36.8 million towards those obligations, and we expect to fund approximately $30.5 million in 2019. Future funding is dependent upon compliance with local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and regulations and changes to those laws and regulations in the future, as well as the generation of operating cash flows in the future. We currently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agreement in place with the trustees of the U.K. defined benefit plan that obligates us to fund approximately £15.6 million per year (or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 million) towards that obligation through December 2021. The funding arrangement is based upon the current underfunded status and could change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as discount rates, local laws and regulations, and other factors change.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of our Consolidated Financial Statements for more information regarding the investment strategy and concentration of risk.</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Other Intangible Assets and Long-Lived Assets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annually and when events or circumstances indicate that fair value of a reporting unit may be below its carrying value. A reporting unit is an operating segment or one level below an operating segment, for example, a component. We combine and aggregate two or more components of an operating segment as a single reporting unit if the components have similar economic characteristics. Our reportable segments are not our reporting units.</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Goodwill is evaluated annually as of October 1 for impairment using a qualitative assessment or a quantitative two-step assessment. If we elect to perform a qualitative assessment and determine the fair value of our reporting units more likely than not exceeds their carrying value, no further evaluation is necessary. For reporting units where we perform a two-step quantitative assessment, the first step requires us to compare the fair value of each reporting unit to its respective carrying value, including goodwill. If the fair value of the reporting unit exceeds its carrying value, the goodwill is not considered impaired. If the carrying value is higher than the fair value of the reporting unit, the second step of the quantitative assessment is required to measure the amount of impairment, if any. The second step of the quantitative assessment results in a calculation of the implied fair value of the reporting unit’s goodwill, which is determined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utilize a combination of valuation techniques, including a discounted cash flow approach and a market multiple approach, when making quantitative goodwill assessments.</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review our long-lived assets, which include intangible assets subject to amortization, for impairment whenever events or changes in circumstances indicate that the carrying amount of an asset may not be recoverable. The evaluation for recoverability is performed at a level where independent cash flows may be attributed to either an asset or asset group. If we determine that the carrying amount of an asset or asset group is not recoverable based on the expected undiscounted future cash flows of the asset or asset group, an impairment loss is recorded equal to the excess of the carrying amounts over the estimated fair value of the long-lived assets. Estimates of future cash flows are based on many factors, including current operating results, expected market trends and competitive influences. We also evaluate the amortization periods assigned to our intangible assets to determine whether events or changes in circumstances warrant revised estimates of useful lives. Assets to be disposed of by sale are reported at the lower of the carrying amount or fair value, less estimated costs to sell.</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make various assumptions, including assumptions regarding future cash flows, market multiples, growth rates and discount rates, in our assessments of the impairment of goodwill, other indefinite-lived intangible assets and long-lived assets. The assumptions about future cash flows and growth rates are based on the current and long-term business plans of the reporting unit or related to the long-lived assets. Discount rate assumptions are based on an assessment of the risk inherent in the future cash flows of the reporting unit or long-lived assets. These assumptions require significant judgments on our part, and the conclusions that we reach could vary significantly based upon these judgments.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results of our goodwill and long-lived assets impairment analyses conducted as of October 1, 2018, 2017 and 2016 indicated that no reduction in the carrying amount of goodwill and long-lived assets was required.</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goodwill impairment analysis conducted as of October 1, 2018 indicated that the fair value in excess of the carrying value related to our GSI EME reporting unit was less than 10%. The percentage of the fair value in excess of the carrying value decreased slightly compared to our 2017 annual analysis, and more recent analyses during 2018. The operations of the GSI reporting unit include the manufacturing and distribution of grain storage and protein production equipment. During 2018, we experienced weak industry conditions as well as operational inefficiencies related to our new manufacturing operations in Europe, which impacted the operating margins of the GSI EME operations. Manufacturing and system initiatives are in process to address such inefficiencies in order to reduce costs and improve the output of the manufacturing operations. If market conditions and our overall results do not improve, we may incur an impairment charge related to our GSI EME reporting unit in the future, to be determined under a two-step quantitative assessment as described above. The amount of goodwill allocated to GSI EME reporting unit as of October 1, 2018 was approximately $243.9 million.</w:t>
      </w:r>
    </w:p>
    <w:p>
      <w:pPr>
        <w:spacing w:after="0" w:line="185"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Numerous facts and circumstances are considered when evaluating the carrying amount of our goodwill. The fair value of a reporting unit is impacted by the reporting unit’s expected financial performance, which is dependent upon the agricultural industry and other factors that could adversely affect the agricultural industry, including but not limited to, declines in the general economy, increases in farm input costs, weather conditions, lower commodity prices and changes in the availability of credit. The estimated fair value of the individual reporting units is assessed for reasonableness by reviewing a variety of indicators evaluated over a reasonable period of time.</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we had approximately $1,495.5 million of goodwill. While our annual impairment testing in 2018 supported the carrying amount of this goodwill, we may be required to re-evaluate the carrying amount in future periods, thus utilizing different assumptions that reflect the then current market conditions and expectations, and, therefore, we could conclude that an impairment has occurred.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Recoverable Indirect Taxes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Brazilian operations incur value added taxes (“VAT”) on certain purchases of raw materials, components and services. These taxes are accumulated as tax credits and create assets that are reduced by the VAT collected from our sales in the Brazilian market. We regularly assesses the recoverability of these tax credits, and establishes reserves when necessary against them, through analyses that include, amongst others, the history of realization, the transfer of tax credits to third parties as authorized by the government, anticipated changes in the supply chain and the future expectation of tax debits from our ongoing operations. We believe that these tax credits, net of established reserves are realizable. Our assessment of realization of these tax assets involves significant judgments on our part, and the conclusions that we reach could vary significantly based upon these judgments. We recorded approximately $156.0 million and $152.3 million, respectively, of VAT tax credits, net of reserves, as of December 31, 2018 and 2017.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Quantitative and Qualitative Disclosures about Market Risk information required by this Item set forth under the captions “Management’s Discussion and Analysis of Financial Condition and Results of Operations - Foreign Currency Risk Management” and “Interest Rate Risk” under Item 7 of this Form 10-K are incorporated herein by reference.</w:t>
      </w: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80"/>
          </w:cols>
          <w:pgMar w:left="240" w:top="121" w:right="4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AGCO and its subsidiaries for each of the years in the three-year period ended December 31, 2018 are included in this Item:</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3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220" w:type="dxa"/>
            <w:vAlign w:val="bottom"/>
            <w:gridSpan w:val="2"/>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Report of Independent Registered Public Accounting Firm</w:t>
              </w:r>
            </w:hyperlink>
          </w:p>
        </w:tc>
        <w:tc>
          <w:tcPr>
            <w:tcW w:w="6140" w:type="dxa"/>
            <w:vAlign w:val="bottom"/>
            <w:gridSpan w:val="6"/>
          </w:tcPr>
          <w:p>
            <w:pPr>
              <w:spacing w:after="0"/>
              <w:rPr>
                <w:sz w:val="17"/>
                <w:szCs w:val="17"/>
                <w:color w:val="auto"/>
              </w:rPr>
            </w:pPr>
          </w:p>
        </w:tc>
        <w:tc>
          <w:tcPr>
            <w:tcW w:w="1020" w:type="dxa"/>
            <w:vAlign w:val="bottom"/>
            <w:gridSpan w:val="3"/>
          </w:tcPr>
          <w:p>
            <w:pPr>
              <w:jc w:val="right"/>
              <w:ind w:right="20"/>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102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80" w:type="dxa"/>
            <w:vAlign w:val="bottom"/>
            <w:gridSpan w:val="7"/>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Consolidated Statements of Comprehensive Income (Loss) for the years ended December 31, 2018, 2017 and 2016</w:t>
              </w:r>
            </w:hyperlink>
          </w:p>
        </w:tc>
        <w:tc>
          <w:tcPr>
            <w:tcW w:w="2080" w:type="dxa"/>
            <w:vAlign w:val="bottom"/>
          </w:tcPr>
          <w:p>
            <w:pPr>
              <w:spacing w:after="0"/>
              <w:rPr>
                <w:sz w:val="21"/>
                <w:szCs w:val="21"/>
                <w:color w:val="auto"/>
              </w:rPr>
            </w:pPr>
          </w:p>
        </w:tc>
        <w:tc>
          <w:tcPr>
            <w:tcW w:w="102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2018 and 2017</w:t>
            </w:r>
          </w:p>
        </w:tc>
        <w:tc>
          <w:tcPr>
            <w:tcW w:w="2080" w:type="dxa"/>
            <w:vAlign w:val="bottom"/>
          </w:tcPr>
          <w:p>
            <w:pPr>
              <w:spacing w:after="0"/>
              <w:rPr>
                <w:sz w:val="21"/>
                <w:szCs w:val="21"/>
                <w:color w:val="auto"/>
              </w:rPr>
            </w:pPr>
          </w:p>
        </w:tc>
        <w:tc>
          <w:tcPr>
            <w:tcW w:w="102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2018, 2017 and 2016</w:t>
            </w:r>
          </w:p>
        </w:tc>
        <w:tc>
          <w:tcPr>
            <w:tcW w:w="102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580" w:type="dxa"/>
            <w:vAlign w:val="bottom"/>
            <w:gridSpan w:val="6"/>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2780" w:type="dxa"/>
            <w:vAlign w:val="bottom"/>
            <w:gridSpan w:val="2"/>
          </w:tcPr>
          <w:p>
            <w:pPr>
              <w:spacing w:after="0"/>
              <w:rPr>
                <w:sz w:val="21"/>
                <w:szCs w:val="21"/>
                <w:color w:val="auto"/>
              </w:rPr>
            </w:pPr>
          </w:p>
        </w:tc>
        <w:tc>
          <w:tcPr>
            <w:tcW w:w="102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00" w:type="dxa"/>
            <w:vAlign w:val="bottom"/>
            <w:gridSpan w:val="5"/>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Notes to Consolidated Financial Statements</w:t>
              </w:r>
            </w:hyperlink>
          </w:p>
        </w:tc>
        <w:tc>
          <w:tcPr>
            <w:tcW w:w="3460" w:type="dxa"/>
            <w:vAlign w:val="bottom"/>
            <w:gridSpan w:val="3"/>
          </w:tcPr>
          <w:p>
            <w:pPr>
              <w:spacing w:after="0"/>
              <w:rPr>
                <w:sz w:val="21"/>
                <w:szCs w:val="21"/>
                <w:color w:val="auto"/>
              </w:rPr>
            </w:pPr>
          </w:p>
        </w:tc>
        <w:tc>
          <w:tcPr>
            <w:tcW w:w="102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under the heading “Quarterly Results” of Item 7 of this Form 10-K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AGCO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AGCO Corporation and subsidiaries (the Company) as of December 31, 2018 and 2017, the related consolidated statements of operations, comprehensive income (loss), stockholders’ equity, and cash flows for each of the years in the three-year period ended December 31, 2018, and the related notes and financial statement schedule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8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and our report dated March 1, 2019 expressed an unqualified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has changed its method of accounting for revenue recognition in 2018 due to the adoption of Accounting Standards Codification 606, Revenue from Contracts with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8,306.5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7,410.5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5,895.0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864.6</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common share attributable to AGCO Corporation and subsidiaries: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reclassification adjustments: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Defined benefit pension plans, net of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Prior service cost arising during the year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loss recognized due to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gain recognized due to curtailment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actuarial (loss) gain arising during the year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43"/>
        </w:trPr>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prior service cost included in net periodic pension cost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of net actuarial losses included in net periodic pension cost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adjustments: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losses reclassified from accumulated other comprehensive loss into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reclassification adjustments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AGCO Corporation and subsidiaries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4"/>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AGCO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06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6"/>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128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367.7</w:t>
            </w: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1,019.4</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1,872.9</w:t>
            </w: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367.7</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3,627.7</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1,485.3</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409.0</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649.0</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1,541.4</w:t>
            </w:r>
          </w:p>
        </w:tc>
      </w:tr>
      <w:tr>
        <w:trPr>
          <w:trHeight w:val="297"/>
        </w:trPr>
        <w:tc>
          <w:tcPr>
            <w:tcW w:w="834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7,971.7</w:t>
            </w: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7060" w:type="dxa"/>
            <w:vAlign w:val="bottom"/>
            <w:tcBorders>
              <w:bottom w:val="single" w:sz="8" w:color="CCEEFF"/>
            </w:tcBorders>
            <w:shd w:val="clear" w:color="auto" w:fill="CCEEFF"/>
          </w:tcPr>
          <w:p>
            <w:pPr>
              <w:jc w:val="center"/>
              <w:ind w:left="173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917.5</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1,407.9</w:t>
            </w: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229.8</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2,650.6</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 and debt issuance costs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1,618.1</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Pensions and postretirement health care benefits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247.3</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229.9</w:t>
            </w:r>
          </w:p>
        </w:tc>
      </w:tr>
      <w:tr>
        <w:trPr>
          <w:trHeight w:val="237"/>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4,876.4</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AGCO Corporation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 shares issued or outstanding in 2018 and 2017</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$0.01 par value, 150,000,000 shares authorized, 76,536,755 and 79,553,825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2018 and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136.6</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4,253.8</w:t>
            </w: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AGCO Corporation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3,029.6</w:t>
            </w: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3,095.3</w:t>
            </w:r>
          </w:p>
        </w:tc>
      </w:tr>
      <w:tr>
        <w:trPr>
          <w:trHeight w:val="257"/>
        </w:trPr>
        <w:tc>
          <w:tcPr>
            <w:tcW w:w="8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7,971.7</w:t>
            </w: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08"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15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40" w:type="dxa"/>
            <w:vAlign w:val="bottom"/>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Other Comprehensive Loss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1540" w:type="dxa"/>
            <w:vAlign w:val="bottom"/>
            <w:gridSpan w:val="4"/>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Defined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Deferred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20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8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Benefit</w:t>
            </w:r>
          </w:p>
        </w:tc>
        <w:tc>
          <w:tcPr>
            <w:tcW w:w="10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Cumulative</w:t>
            </w:r>
          </w:p>
        </w:tc>
        <w:tc>
          <w:tcPr>
            <w:tcW w:w="78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4"/>
              </w:rPr>
              <w:t>(Losses)</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99"/>
        </w:trPr>
        <w:tc>
          <w:tcPr>
            <w:tcW w:w="32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820" w:type="dxa"/>
            <w:vAlign w:val="bottom"/>
            <w:gridSpan w:val="2"/>
          </w:tcPr>
          <w:p>
            <w:pPr>
              <w:ind w:left="140"/>
              <w:spacing w:after="0" w:line="10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6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Pension</w:t>
            </w:r>
          </w:p>
        </w:tc>
        <w:tc>
          <w:tcPr>
            <w:tcW w:w="100" w:type="dxa"/>
            <w:vAlign w:val="bottom"/>
          </w:tcPr>
          <w:p>
            <w:pPr>
              <w:spacing w:after="0"/>
              <w:rPr>
                <w:sz w:val="8"/>
                <w:szCs w:val="8"/>
                <w:color w:val="auto"/>
              </w:rPr>
            </w:pPr>
          </w:p>
        </w:tc>
        <w:tc>
          <w:tcPr>
            <w:tcW w:w="76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78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5"/>
              </w:rPr>
              <w:t>Gains on</w:t>
            </w:r>
          </w:p>
        </w:tc>
        <w:tc>
          <w:tcPr>
            <w:tcW w:w="80" w:type="dxa"/>
            <w:vAlign w:val="bottom"/>
          </w:tcPr>
          <w:p>
            <w:pPr>
              <w:spacing w:after="0"/>
              <w:rPr>
                <w:sz w:val="8"/>
                <w:szCs w:val="8"/>
                <w:color w:val="auto"/>
              </w:rPr>
            </w:pPr>
          </w:p>
        </w:tc>
        <w:tc>
          <w:tcPr>
            <w:tcW w:w="92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8"/>
                <w:szCs w:val="8"/>
                <w:color w:val="auto"/>
              </w:rPr>
            </w:pPr>
          </w:p>
        </w:tc>
        <w:tc>
          <w:tcPr>
            <w:tcW w:w="920" w:type="dxa"/>
            <w:vAlign w:val="bottom"/>
            <w:gridSpan w:val="2"/>
          </w:tcPr>
          <w:p>
            <w:pPr>
              <w:jc w:val="center"/>
              <w:ind w:right="180"/>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7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Stockholders’</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Plans</w:t>
            </w:r>
          </w:p>
        </w:tc>
        <w:tc>
          <w:tcPr>
            <w:tcW w:w="10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Derivatives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3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Balance, December 31, 2015</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83,814,809</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86"/>
              </w:rPr>
              <w:t>$0.8</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96"/>
              </w:rPr>
              <w:t>$301.7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   3,996.0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  (249.0)</w:t>
            </w:r>
          </w:p>
        </w:tc>
        <w:tc>
          <w:tcPr>
            <w:tcW w:w="76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  (1,209.2)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94"/>
              </w:rPr>
              <w:t>$(2.0)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(1,460.2)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$2,883.3</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160.1</w:t>
            </w:r>
          </w:p>
        </w:tc>
        <w:tc>
          <w:tcPr>
            <w:tcW w:w="1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160.2</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Payment of dividends to shareholders</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(42.5)</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Issuance of restricted stock</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15,395</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0.8</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stock awards</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27,333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SSARs exercised</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21,106</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(0.9)</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compensation</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248"/>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Investment by noncontrolling interests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Changes in noncontrolling interest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and retirement of common stock</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(4,413,250)</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(212.5)</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(212.5)</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Defined benefit pension plans, net of taxes:</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Prior service cost arising during year</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loss recognized due to settlement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gain recognized due to curtailment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actuarial loss arising during year</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(62.9)</w:t>
            </w:r>
          </w:p>
        </w:tc>
        <w:tc>
          <w:tcPr>
            <w:tcW w:w="0" w:type="dxa"/>
            <w:vAlign w:val="bottom"/>
          </w:tcPr>
          <w:p>
            <w:pPr>
              <w:spacing w:after="0"/>
              <w:rPr>
                <w:sz w:val="1"/>
                <w:szCs w:val="1"/>
                <w:color w:val="auto"/>
              </w:rPr>
            </w:pPr>
          </w:p>
        </w:tc>
      </w:tr>
      <w:tr>
        <w:trPr>
          <w:trHeight w:val="135"/>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prior service cost included in net periodic pension</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cost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9"/>
              </w:rPr>
              <w:t>Amortization of net actuarial losses included in net periodic pension</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cost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gains and losses on derivatives, net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(6.7)</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cumulative translation adjustment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80.8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82.4</w:t>
            </w:r>
          </w:p>
        </w:tc>
        <w:tc>
          <w:tcPr>
            <w:tcW w:w="0" w:type="dxa"/>
            <w:vAlign w:val="bottom"/>
          </w:tcPr>
          <w:p>
            <w:pPr>
              <w:spacing w:after="0"/>
              <w:rPr>
                <w:sz w:val="1"/>
                <w:szCs w:val="1"/>
                <w:color w:val="auto"/>
              </w:rPr>
            </w:pPr>
          </w:p>
        </w:tc>
      </w:tr>
      <w:tr>
        <w:trPr>
          <w:trHeight w:val="228"/>
        </w:trPr>
        <w:tc>
          <w:tcPr>
            <w:tcW w:w="3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Balance, December 31, 2016</w:t>
            </w:r>
          </w:p>
        </w:tc>
        <w:tc>
          <w:tcPr>
            <w:tcW w:w="72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79,465,393</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0.8</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103.3</w:t>
            </w: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4,113.6</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(304.5)</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(1,128.4)</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(8.7)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(1,441.6)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61.1</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rPr>
              <w:t>2,837.2</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189.3</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of dividends to shareholders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(44.5)</w:t>
            </w:r>
          </w:p>
        </w:tc>
        <w:tc>
          <w:tcPr>
            <w:tcW w:w="1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(44.5)</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restricted stock</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12,066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Issuance of stock awards</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54,309</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SSARs exercised</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92,521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 compensation</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39.1</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39.1</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Investment by noncontrolling interests</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and retirement of common stock</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(70,464)</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Adjustment related to the adoption of ASU 2016-09</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Defined benefit pension plans, net of taxes: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loss recognized due to settlement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actuarial gain arising during year</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prior service cost included in net periodic pension</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cost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5"/>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9"/>
              </w:rPr>
              <w:t>Amortization of net actuarial losses included in net periodic pension</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cost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gains and losses on derivatives, net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cumulative translation adjustment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56.6</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57.8</w:t>
            </w:r>
          </w:p>
        </w:tc>
        <w:tc>
          <w:tcPr>
            <w:tcW w:w="0" w:type="dxa"/>
            <w:vAlign w:val="bottom"/>
          </w:tcPr>
          <w:p>
            <w:pPr>
              <w:spacing w:after="0"/>
              <w:rPr>
                <w:sz w:val="1"/>
                <w:szCs w:val="1"/>
                <w:color w:val="auto"/>
              </w:rPr>
            </w:pPr>
          </w:p>
        </w:tc>
      </w:tr>
      <w:tr>
        <w:trPr>
          <w:trHeight w:val="22"/>
        </w:trPr>
        <w:tc>
          <w:tcPr>
            <w:tcW w:w="3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Balance, December 31, 2017</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79,553,825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136.6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4,253.8</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(285.1)</w:t>
            </w:r>
          </w:p>
        </w:tc>
        <w:tc>
          <w:tcPr>
            <w:tcW w:w="76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(1,071.8)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(1,361.6)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65.7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3,095.3</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285.5</w:t>
            </w:r>
          </w:p>
        </w:tc>
        <w:tc>
          <w:tcPr>
            <w:tcW w:w="1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283.7</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Payment of dividends to shareholders</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(47.1)</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Issuance of restricted stock</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12,629</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0.8</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stock awards</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75,604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SSARs exercised</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14,881</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(0.6)</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compensation</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45.5</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 by noncontrolling interests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Distribution to noncontrolling interest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and retirement of common stock</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(3,120,184)</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(169.0)</w:t>
            </w:r>
          </w:p>
        </w:tc>
        <w:tc>
          <w:tcPr>
            <w:tcW w:w="12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(15.3)</w:t>
            </w:r>
          </w:p>
        </w:tc>
        <w:tc>
          <w:tcPr>
            <w:tcW w:w="1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(184.3)</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Adjustment related to the adoption of ASU 2014-09</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Defined benefit pension plans, net of taxes: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service cost arising during year</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loss recognized due to settlement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actuarial loss arising during year</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22"/>
        </w:trPr>
        <w:tc>
          <w:tcPr>
            <w:tcW w:w="3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prior service cost included in net periodic pension</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r>
      <w:tr>
        <w:trPr>
          <w:trHeight w:val="140"/>
        </w:trPr>
        <w:tc>
          <w:tcPr>
            <w:tcW w:w="32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cost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3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9"/>
              </w:rPr>
              <w:t>Amortization of net actuarial losses included in net periodic pension</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2"/>
        </w:trPr>
        <w:tc>
          <w:tcPr>
            <w:tcW w:w="3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cost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11.7</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11.7</w:t>
            </w:r>
          </w:p>
        </w:tc>
      </w:tr>
      <w:tr>
        <w:trPr>
          <w:trHeight w:val="248"/>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gains and losses on derivatives, net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1"/>
                <w:szCs w:val="21"/>
                <w:color w:val="auto"/>
              </w:rPr>
            </w:pP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6.1</w:t>
            </w:r>
          </w:p>
        </w:tc>
      </w:tr>
      <w:tr>
        <w:trPr>
          <w:trHeight w:val="22"/>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cumulative translation adjustment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(206.8)</w:t>
            </w:r>
          </w:p>
        </w:tc>
      </w:tr>
      <w:tr>
        <w:trPr>
          <w:trHeight w:val="232"/>
        </w:trPr>
        <w:tc>
          <w:tcPr>
            <w:tcW w:w="3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Balance, December 31, 2018</w:t>
            </w:r>
          </w:p>
        </w:tc>
        <w:tc>
          <w:tcPr>
            <w:tcW w:w="7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76,536,755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0.8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10.2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4,477.3</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  (282.4)</w:t>
            </w:r>
          </w:p>
        </w:tc>
        <w:tc>
          <w:tcPr>
            <w:tcW w:w="1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  (1,274.4)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(1,555.4)</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60.6</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2,993.5</w:t>
            </w:r>
          </w:p>
        </w:tc>
      </w:tr>
      <w:tr>
        <w:trPr>
          <w:trHeight w:val="20"/>
        </w:trPr>
        <w:tc>
          <w:tcPr>
            <w:tcW w:w="3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termination of hedging instrument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net earnings of affiliates, net of cash received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 businesses: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7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43"/>
        </w:trPr>
        <w:tc>
          <w:tcPr>
            <w:tcW w:w="7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43"/>
        </w:trPr>
        <w:tc>
          <w:tcPr>
            <w:tcW w:w="7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w:t>
            </w:r>
          </w:p>
        </w:tc>
      </w:tr>
      <w:tr>
        <w:trPr>
          <w:trHeight w:val="237"/>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consolidated affiliates,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debt obligations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3,117.9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(2,622.4)</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minimum tax withholdings on stock compensation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by noncontrolling interests,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236.4</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Operations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right="120" w:firstLine="648"/>
        <w:spacing w:after="0" w:line="228" w:lineRule="auto"/>
        <w:rPr>
          <w:sz w:val="20"/>
          <w:szCs w:val="20"/>
          <w:color w:val="auto"/>
        </w:rPr>
      </w:pPr>
      <w:r>
        <w:rPr>
          <w:rFonts w:ascii="Times New Roman" w:cs="Times New Roman" w:eastAsia="Times New Roman" w:hAnsi="Times New Roman"/>
          <w:sz w:val="18"/>
          <w:szCs w:val="18"/>
          <w:color w:val="auto"/>
        </w:rPr>
        <w:t>AGCO Corporation and subsidiaries (“AGCO” or the “Company”) is a leading manufacturer and distributor of agricultural equipment and related replacement parts throughout the world. The Company sells a full range of agricultural equipment, including tractors, combines, hay tools, sprayers, forage equipment, seeding and tillage equipment, implements, and grain storage and protein production systems. The Company’s products are widely recognized in the agricultural equipment industry and are marketed under a number of well-known brand names including: Challenger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Fendt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GSI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Valtra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Company distributes most of its products through a combination of approximately 4,050 independent dealers and distributors as well as the Company utilizes associates and licensees to provide a distribution channel for its products. In addition, the Company provides retail financing through its finance joint ventures with Coöperatieve Centrale Raiffeisen-Boerenleenbank B.A., or “Rabobank.”</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represent the consolidation of all wholly-owned companies, majority-owned companies and joint ventures in which the Company has been determined to be the primary beneficiary. The Company consolidates a variable interest entity (“VIE”) if the Company determines it is the primary beneficiary. The primary beneficiary of a VIE is the party that has both the power to direct the activities that most significantly impact the entity’s economic performance and the obligation to absorb losses or the right to receive benefits that potentially could be significant to the VIE. The Company also consolidates all entities that are not considered VIEs if it is determined that the Company has a controlling voting interest to direct the activities that most significantly impact the joint venture or entity. The Company records investments in all other affiliate companies using the equity method of accounting when it has significant influence. Other investments, including those representing an ownership interest of less than 20%, are recorded at cost. All significant intercompany balances and transactions have been eliminated in the Consolidated Financial Statements. Certain prior period amounts have been reclassified to conform to the current period presentation.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estimates made by management primarily relate to accounts and notes receivable, inventories, deferred income tax valuation allowances, uncertain tax positions, goodwill and other identifiable intangible assets, and certain accrued liabilities, principally relating to reserves for volume discounts and sales incentives, warranty obligations, product liability and workers’ compensation obligations, and pensions and postretirement benefits.</w:t>
      </w: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are translated into United States currency in accordance with Accounting Standards Codification (“ASC”) 830, “Foreign Currency Matters.” Assets and liabilities are translated to United States dollars at period-end exchange rates. Income and expense items are translated at average rates of exchange prevailing during the period. Translation adjustments are included in “Accumulated other comprehensive loss” in stockholders’ equity within the Company’s Consolidated Balance Sheets. Gains and losses, which result from foreign currency transactions, are included in the accompanying Consolidated Statements of Operations.</w:t>
      </w:r>
    </w:p>
    <w:p>
      <w:pPr>
        <w:spacing w:after="0" w:line="1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has a wholly-owned subsidiary in Argentina that manufactures and distributes agricultural equipment and replacement parts within Argentina. As of June 30, 2018, on the basis of currently available data related to inflation indices and as a result of the devaluation of the Argentine peso relative to the United States dollar, the Argentinian economy was determined to be highly inflationary. A highly inflationary economy is one where the cumulative inflation rate for the three years preceding the beginning of the reporting period, including interim reporting periods, is in excess of 100 percent. As a result of this designation and based on the guidance in ASC 830, the Company changed the functional currency of its wholly-owned subsidiary from the Argentinian peso to the U.S. dollar effective July 1, 2018. For the year-ended ended December 31, 2018, the Company’s wholly-owned subsidiary in Argentina had net sales of approximately $92.6 million and total assets 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approximately $104.5 million as of December 31, 2018. The monetary assets and liabilities denominated in the Argentine peso were approximately $28.0 million and approximately $13.6 million, respectively, as of December 31, 2018. The monetary assets and liabilities were remeasured based on current published exchange rates.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Cash at December 31, 2018 and 2017 of $290.5 million and $317.0 million, respectively, consisted primarily of cash on hand and bank deposits. The Company considers all investments with an original maturity of three months or less to be cash equivalents. Cash equivalents at December 31, 2018 and 2017 of $35.6 million and $50.7 million, respectively, consisted primarily of money market deposits, certificates of deposits and overnight investments.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Accounts and notes receivable arise from the sale of equipment and replacement parts to independent dealers, distributors or other customers. In the United States and Canada, amounts due from sales to dealers are immediately due upon a retail sale of the underlying equipment by the dealer with the exception of sales of grain storage and protein production systems as discussed further below. If not previously paid by the dealer in the United States and Canada, installment payments are required generally beginning after the interest-free period with the remaining outstanding equipment balance generally due within 12 months after shipment or delivery. These interest-free periods vary by product and generally range from one to 12 months. In limited circumstances, the Company provides sales terms, and in some cases, interest-free periods that are longer than 12 months for certain products. These are typically specified programs predominately in the United States and Canada, that allow for interest-free periods and due dates of up to 24 months for certain products depending on the year of the sale and the dealer or distributor’s ordering or sales volume during the preceding year. Interest generally is charged at or above prime lending rates on the outstanding receivable balances after shipment or delivery and after interest-free periods. Sales terms of some highly seasonal products provide for payment and due dates based on a specified date during the year regardless of the shipment date. Equipment sold to dealers in the United States and Canada is paid in full on average within 12 months of shipment. Sales of replacement parts generally are payable within 30 days of shipment, with terms for some larger, seasonal stock orders generally requiring payment within six months of shipment. Under normal circumstances, equipment may not be returned. In certain regions, with respect to most equipment sales, including the United States and Canada, the Company is obligated to repurchase equipment and replacement parts upon cancellation of a dealer or distributor contract. These obligations are required by national, state or provincial laws and require the Company to repurchase a dealer or distributor’s unsold inventory, including inventories for which the receivable already has been paid. Actual interest-free periods are shorter than described above because the equipment receivable from dealers or distributors in some countries, such as in the United States and Canada, is generally due immediately upon sale of the equipment to a retail customer as discussed above. Receivables can also be paid prior to terms specified in sales agreements. Under normal circumstances, interest is not forgiven and interest-free periods are not extended.</w:t>
      </w:r>
    </w:p>
    <w:p>
      <w:pPr>
        <w:spacing w:after="0" w:line="19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other international markets, equipment sales generally are payable in full within 30 to 180 days of shipment or delivery. Payment terms for some highly seasonal products have a specified due date during the year regardless of the shipment or delivery date. For sales in most markets outside of the United States and Canada, the Company generally does not charge interest on outstanding receivables with its dealers and distributors. Sales of replacement parts generally are payable within 30 to 90 days of shipment, with terms for some larger, seasonal stock orders generally payable within six months of shipment.</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certain markets, there is a time lag, which varies based on the timing and level of retail demand, between the date the Company records a sale and when the dealer sells the equipment to a retail customer.</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Sales of grain storage and protein production systems generally are payable within 30 days of shipment. In certain countries, sales of such systems in which the Company is responsible for construction or installation may be contingent upon customer acceptance, payment terms vary by market and product, with fixed payment schedules on all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by geographic region, as a percentage of our consolidated net sales, amounts with maximum interest-free periods as presented below (in millions):</w:t>
      </w:r>
    </w:p>
    <w:p>
      <w:pPr>
        <w:spacing w:after="0" w:line="10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South</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Europe/Middle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8"/>
        </w:trPr>
        <w:tc>
          <w:tcPr>
            <w:tcW w:w="33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America</w:t>
            </w:r>
          </w:p>
        </w:tc>
        <w:tc>
          <w:tcPr>
            <w:tcW w:w="280" w:type="dxa"/>
            <w:vAlign w:val="bottom"/>
          </w:tcPr>
          <w:p>
            <w:pPr>
              <w:spacing w:after="0"/>
              <w:rPr>
                <w:sz w:val="17"/>
                <w:szCs w:val="17"/>
                <w:color w:val="auto"/>
              </w:rPr>
            </w:pPr>
          </w:p>
        </w:tc>
        <w:tc>
          <w:tcPr>
            <w:tcW w:w="10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East</w:t>
            </w:r>
          </w:p>
        </w:tc>
        <w:tc>
          <w:tcPr>
            <w:tcW w:w="16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Asia/Pacific/Africa</w:t>
            </w:r>
          </w:p>
        </w:tc>
        <w:tc>
          <w:tcPr>
            <w:tcW w:w="260" w:type="dxa"/>
            <w:vAlign w:val="bottom"/>
          </w:tcPr>
          <w:p>
            <w:pPr>
              <w:spacing w:after="0"/>
              <w:rPr>
                <w:sz w:val="17"/>
                <w:szCs w:val="17"/>
                <w:color w:val="auto"/>
              </w:rPr>
            </w:pPr>
          </w:p>
        </w:tc>
        <w:tc>
          <w:tcPr>
            <w:tcW w:w="138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0" w:type="dxa"/>
            <w:vAlign w:val="bottom"/>
          </w:tcPr>
          <w:p>
            <w:pPr>
              <w:spacing w:after="0"/>
              <w:rPr>
                <w:sz w:val="17"/>
                <w:szCs w:val="17"/>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400" w:type="dxa"/>
            <w:vAlign w:val="bottom"/>
            <w:tcBorders>
              <w:top w:val="single" w:sz="8" w:color="auto"/>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4"/>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to 6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43"/>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 to 12 months</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 to 24 months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5,385.1</w:t>
            </w:r>
          </w:p>
        </w:tc>
        <w:tc>
          <w:tcPr>
            <w:tcW w:w="100" w:type="dxa"/>
            <w:vAlign w:val="bottom"/>
          </w:tcPr>
          <w:p>
            <w:pPr>
              <w:spacing w:after="0"/>
              <w:rPr>
                <w:sz w:val="20"/>
                <w:szCs w:val="20"/>
                <w:color w:val="auto"/>
              </w:rPr>
            </w:pPr>
          </w:p>
        </w:tc>
        <w:tc>
          <w:tcPr>
            <w:tcW w:w="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9,352.0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agreement to permit transferring, on an ongoing basis, a majority of its wholesale interest-bearing and non-interest bearing accounts receivable in North America, Europe and Brazil to its U.S., Canadian, European and Brazilian finance joint ventures. Qualified dealers may obtain additional financing through the Company’s U.S., Canadian, European and Brazilian finance joint ventures at the joint ventures’ discretion.</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provides various volume bonus and sales incentive programs with respect to its products. These sales incentive programs include reductions in invoice prices, reductions in retail financing rates, dealer commissions and dealer incentive allowances. In most cases, incentive programs are established and communicated to the Company’s dealers on a quarterly basis. The incentives are paid either at the time of the cash settlement of the receivable (which is generally at the time of retail sale), at the time of retail financing, at the time of warranty registration, or at a subsequent time based on dealer purchase volumes. The incentive programs are product-line specific and generally do not vary by dealer. The cost of sales incentives associated with dealer commissions and dealer incentive allowances is estimated based upon the terms of the programs and historical experience, is based on a percentage of the sales price, and estimates for sales incentives are made and recorded at the time of sale for existing incentive programs using the expected value method. These estimates are reassessed each reporting period and are revised in the event of subsequent modifications to incentive programs, as they are communicated to dealers. The related provisions and accruals are made on a product or product-line basis and are monitored for adequacy and revised at least quarterly in the event of subsequent modifications to the programs. Interest rate subsidy payments, which are a reduction in retail finance rates, are recorded in the same manner as dealer commissions and dealer incentive allowances. Volume discounts are estimated and recognized based on historical experience, and related reserves are monitored and adjusted based on actual dealer purchase volumes and the dealer’s progress towards achieving specified cumulative target levels. All incentive programs are recorded and presented as a reduction of revenue, due to the fact that the Company does not receive a distinct good or service in exchange for the consideration provided. In the United States and Canada, reserves for incentive programs related to accounts receivable not sold to Company’s U.S. and Canadian finance joint ventures are recorded as “accounts receivable allowances” within the Company’s Consolidated Balance Sheets due to the fact that the incentives are paid through a reduction of future cash settlement of the receivable. Globally, reserves for incentive programs that will be paid in cash or credit memos, as is the case with most of the Company’s volume discount programs, as well as sales with incentives associated with accounts receivable sold to its finance joint ventures, are recorded within “Accrued expenses” within the Company’s Consolidated Balance Sheets.</w:t>
      </w:r>
    </w:p>
    <w:p>
      <w:pPr>
        <w:spacing w:after="0" w:line="19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Accounts and notes receivable are shown net of allowances for sales incentive discounts available to dealers and for doubtful accounts. Cash flows related to the collection of receivables are reported within “Cash flows from operating activities” within the Company’s Consolidated Statements of Cash Flows. Accounts and notes receivable allowances at December 31, 2018 and 2017 were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incentive discounts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accounts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and Canada, sales incentives can be paid through future cash settlements of receivables and through credit memos to Company’s dealers or through reductions in retail financing rates paid to the Company’s finance joint ventures. Outside of the United States and Canada, sales incentives can be paid through cash or credit memos to the Company’s dealers or through reductions in retail financing rates paid to the Company’s finance joint ventures. The Company transfers certain accounts receivable under its accounts receivable sales agreements with its finance joint ventures (Note 4). The Company records such transfers as sales of accounts receivable when it is considered to have surrendered control of such</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receivables under the provisions of Accounting Standards Update (“ASU”) 2009-16, “Transfers and Servicing (Topic 860): Accounting for Transfers of Financial Assets.” Cash payments made to the Company’s finance joint ventures for sales incentive discounts provided to dealers related to outstanding accounts receivables sold are recorded within “Accrued expenses”.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Inventories are valued at the lower of cost or market using the first-in, first-out method. Market is current replacement cost (by purchase or by reproduction, dependent on the type of inventory). In cases where market exceeds net realizable value (i.e., estimated selling price less reasonably predictable costs of completion and disposal), inventories are stated at net realizable value. Market is not considered to be less than net realizable value reduced by an allowance for an approximately normal profit margin. At December 31, 2018 and 2017, the Company had recorded $156.6 million and $165.7 million, respectively, as an adjustment for surplus and obsolete inventories. These adjustments are reflected within “Inventories, net” within the Company’s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 net at December 31, 2018 and 2017 were as follows (in millions):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Repair and replacement parts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1,872.9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Cash flows related to the sale of inventories are reported within “Cash flows from operating activities” within the Company’s Consolidated Statements of Cash Flows.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Recoverable Indirect Taxes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Company’s Brazilian operations incur value added taxes (“VAT”) on certain purchases of raw materials, components and services. These taxes are accumulated as tax credits and create assets that are reduced by the VAT collected from the Company’s sales in the Brazilian market. The Company regularly assesses the recoverability of these tax credits, and establishes reserves when necessary against them, through analyses that include, amongst others, the history of realization, the transfer of tax credits to third parties as authorized by the government, anticipated changes in the supply chain and the future expectation of tax debits from the Company’s ongoing operations. The Company believes that these tax credits, net of established reserves, are realizable. The Company had recorded approximately $156.0 million and $152.3 million, respectively, of VAT tax credits, net of reserves, as of December 31, 2018 and 2017.</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cost, less accumulated depreciation and amortization. Depreciation is provided on a straight-line basis over the estimated useful lives of ten to 40 years for buildings and improvements, three to 15 years for machinery and equipment and three to ten years for furniture and fixtures. Expenditures for maintenance and repairs are charged to expense as incurred.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net at December 31, 2018 and 2017 consisted of the following (in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3,461.8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1,485.3</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Other Intangible Assets and Long-Lived Assets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tests goodwill for impairment, at the reporting unit level, annually and when events or circumstances indicate that fair value of a reporting unit may be below its carrying value. A reporting unit is an operating segment or one level below an operating segment, for example, a component. The Company combines and aggregates two or more components of an operating segment as a single reporting unit if the components have similar economic characteristics. The Company’s reportable segments are not its reporting units.</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Goodwill is evaluated annually as of October 1 for impairment using a qualitative assessment or a quantitative two-step assessment. If the Company elects to perform a qualitative assessment and determines the fair value of its reporting units more likely than not exceed their carrying value, no further evaluation is necessary. For reporting units where the Company performs a two-step quantitative assessment, the first step requires the Company to compare the fair value of each reporting unit, which is determined based on a combination of a discounted cash flow valuation approach and a market multiple valuation approach, to its respective carrying value, including goodwill. If the fair value of the reporting unit exceeds its carrying value, the goodwill is not considered impaired. If the carrying value is higher than the fair value of the reporting unit, the second step of the quantitative process is required to measure the amount of impairment, if any. The second step of the quantitative assessment results in a calculation of the implied fair value of the reporting unit’s goodwill, which is determined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reviews its long-lived assets, which include intangible assets subject to amortization, for impairment whenever events or changes in circumstances indicate that the carrying amount of an asset may not be recoverable. The evaluation for recoverability is performed at a level where independent cash flows may be attributed to either an asset or asset group. If the Company determines that the carrying amount of an asset or asset group is not recoverable based on the expected undiscounted future cash flows of the asset or asset group, an impairment loss is recorded equal to the excess of the carrying amounts over the estimated fair value of the long-lived assets. Estimates of future cash flows are based on many factors, including current operating results, expected market trends and competitive influences. The Company also evaluates the amortization periods assigned to its intangible assets to determine whether events or changes in circumstances warrant revised estimates of useful lives. Assets to be disposed of by sale are reported at the lower of the carrying amount or fair value, less estimated costs to sell.</w:t>
      </w:r>
    </w:p>
    <w:p>
      <w:pPr>
        <w:spacing w:after="0" w:line="18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results of the Company’s goodwill and long-lived assets impairment analyses conducted as of October 1, 2018, 2017 and 2016 indicated that no reduction in the carrying amount of the Company’s goodwill and long-lived assets was required.</w:t>
      </w:r>
    </w:p>
    <w:p>
      <w:pPr>
        <w:spacing w:after="0" w:line="16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Company’s accumulated goodwill impairment is approximately $180.5 million related to impairment charges the Company recorded during 2012 and 2006 pertaining to its Chinese harvesting reporting unit and former sprayer reporting unit, respectively. The Chinese harvesting business operates within the Asia/Pacific/Africa geographical reportable segment and the former sprayer reporting unit operates within the North American geographical reportable segment.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carrying amount of goodwill during the years ended December 31, 2018, 2017 and 2016 are summarized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800" w:type="dxa"/>
            <w:vAlign w:val="bottom"/>
          </w:tcPr>
          <w:p>
            <w:pPr>
              <w:spacing w:after="0"/>
              <w:rPr>
                <w:sz w:val="20"/>
                <w:szCs w:val="20"/>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38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1,114.5</w:t>
            </w: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269.2</w:t>
            </w:r>
          </w:p>
        </w:tc>
      </w:tr>
      <w:tr>
        <w:trPr>
          <w:trHeight w:val="27"/>
        </w:trPr>
        <w:tc>
          <w:tcPr>
            <w:tcW w:w="3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1,376.4</w:t>
            </w:r>
          </w:p>
        </w:tc>
      </w:tr>
      <w:tr>
        <w:trPr>
          <w:trHeight w:val="27"/>
        </w:trPr>
        <w:tc>
          <w:tcPr>
            <w:tcW w:w="3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r>
      <w:tr>
        <w:trPr>
          <w:trHeight w:val="27"/>
        </w:trPr>
        <w:tc>
          <w:tcPr>
            <w:tcW w:w="38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1,541.4</w:t>
            </w: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3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57"/>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1,495.5</w:t>
            </w:r>
          </w:p>
        </w:tc>
      </w:tr>
      <w:tr>
        <w:trPr>
          <w:trHeight w:val="20"/>
        </w:trPr>
        <w:tc>
          <w:tcPr>
            <w:tcW w:w="3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amortizes certain acquired identifiable intangible assets primarily on a straight-line basis over their estimated useful lives, which range from three to 50 years. The acquired intangible assets have a weighted average useful life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198"/>
        </w:trPr>
        <w:tc>
          <w:tcPr>
            <w:tcW w:w="96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Intangible Asset</w:t>
            </w:r>
          </w:p>
        </w:tc>
        <w:tc>
          <w:tcPr>
            <w:tcW w:w="180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b w:val="1"/>
                <w:bCs w:val="1"/>
                <w:color w:val="auto"/>
              </w:rPr>
              <w:t>Useful Life</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834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44"/>
        </w:trPr>
        <w:tc>
          <w:tcPr>
            <w:tcW w:w="9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 and technology</w:t>
            </w:r>
          </w:p>
        </w:tc>
        <w:tc>
          <w:tcPr>
            <w:tcW w:w="1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 years</w:t>
            </w:r>
          </w:p>
        </w:tc>
      </w:tr>
      <w:tr>
        <w:trPr>
          <w:trHeight w:val="243"/>
        </w:trPr>
        <w:tc>
          <w:tcPr>
            <w:tcW w:w="9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 years</w:t>
            </w:r>
          </w:p>
        </w:tc>
      </w:tr>
      <w:tr>
        <w:trPr>
          <w:trHeight w:val="243"/>
        </w:trPr>
        <w:tc>
          <w:tcPr>
            <w:tcW w:w="9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Land use rights</w:t>
            </w:r>
          </w:p>
        </w:tc>
        <w:tc>
          <w:tcPr>
            <w:tcW w:w="1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45 years</w:t>
            </w:r>
          </w:p>
        </w:tc>
      </w:tr>
    </w:tbl>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2017 and 2016, acquired intangible asset amortization was $64.7 million, $57.0 million and $51.2 million, respectively. The Company estimates amortization of existing intangible assets will be $61.2 million in 2019, $60.3 million in 2020, $58.3 million in 2021, $57.8 million in 2022, and $55.6 million in 2023.</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has previously determined that two of its trademarks have an indefinite useful life. The Massey Ferguson trademark has been in existence since 1952 and was formed from the merger of Massey-Harris (established in the 1890’s) and Ferguson (established in the 1930’s). The Massey Ferguson brand is currently sold in approximately 110 countries worldwide, making it one of the most widely sold tractor brands in the world. The Company also has identified the Valtra trademark as an indefinite-lived asset. The Valtra trademark has been in existence since the late 1990’s, but is a derivative of the Valmet trademark which has been in existence since 1951. The Valmet name transitioned to the Valtra name over a period of time in the marketplace. The Valtra brand is currently sold in over 75 countries around the world. Both the Massey Ferguson brand and the Valtra brand are primary product lines of the Company’s business, and the Company plans to use these trademarks for an indefinite period of time. The Company plans to continue to make investments in product development to enhance the value of these brands into the future. There are no legal, regulatory, contractual, competitive, economic or other factors that the Company is aware of or that the Company believes would limit the useful lives of the trademarks. The Massey Ferguson and Valtra trademark registrations can be renewed at a nominal cost in the countries in which the Company operates.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carrying amount of acquired intangible assets during 2018 and 2017 are summarized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Trademarks and</w:t>
            </w: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Patents and</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Trade Names</w:t>
            </w: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Land Use Rights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carrying amounts: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867.8</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977.9</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954.1</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Trademarks and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Patents and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Land Use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Trade Names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344.9</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417.5</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467.9</w:t>
            </w: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Trademarks and</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31, 2018</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w:t>
      </w:r>
    </w:p>
    <w:p>
      <w:pPr>
        <w:spacing w:after="0" w:line="63"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88.6</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1040" w:hanging="1032"/>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51435</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9220" w:space="720"/>
            <w:col w:w="1480"/>
          </w:cols>
          <w:pgMar w:left="240" w:top="121" w:right="239" w:bottom="1440" w:gutter="0" w:footer="0" w:header="0"/>
          <w:type w:val="continuous"/>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9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at December 31, 2018 and 2017 consisted of the following (in millions):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volume discounts and sales incentives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489.1</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reserves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283.3</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taxes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226.5</w:t>
            </w:r>
          </w:p>
        </w:tc>
      </w:tr>
      <w:tr>
        <w:trPr>
          <w:trHeight w:val="237"/>
        </w:trPr>
        <w:tc>
          <w:tcPr>
            <w:tcW w:w="9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1,407.9</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warranty reserve activity for the years ended December 31, 2018, 2017 and 2016 consisted of the following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Accruals for warranties issued during the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214.6</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 made (in cash or in kind) during the year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255.6</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agricultural equipment products generally are under warranty against defects in materials and workmanship for a period of one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years. The Company accrues for future warranty costs at the time of sale based on historical warranty experience. Approximately $52.3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$42.4 million of warranty reserves are included in “Other noncurrent liabilities” in the Company’s Consolidated Balance Sheets as of December 31, 2018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respectively.</w:t>
      </w:r>
    </w:p>
    <w:p>
      <w:pPr>
        <w:spacing w:after="0" w:line="20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recoveries of the costs associated with warranties it provides when the collection is probable. When specifics of the recovery have been agreed upon with the Company’s suppliers through confirmation of liability for the recovery, the Company records the recovery within “Accounts and notes receivable, net.” Estimates of the amount of warranty claim recoveries to be received from the Company’s suppliers based upon contractual supplier arrangements are recorded within “Other current assets.”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insurance programs, coverage is obtained for significant liability limits as well as those risks required to be insured by law or contract. It is the policy of the Company to self-insure a portion of certain expected losses primarily related to workers’ compensation and comprehensive general liability, product and vehicle liability. Provisions for losses expected under these programs are recorded based on the Company’s estimates of the aggregate liabilities for the claims incurred.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Stock compensation expense was recorded as follows (in millions). Refer to Note 10 for additional information regarding the Company’s stock incentive plans during 2018, 2017 and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2016</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are included in engineering expenses in the Company’s Consolidated Statements of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Company expenses all advertising costs as incurred. Cooperative advertising costs normally are expensed at the time the revenue is earned. Advertising expenses for the years ended December 31, 2018, 2017 and 2016 totaled approximately $42.3 million, $40.0 million and $44.9 million,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Expenses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All shipping and handling fees charged to customers are included as a component of net sales. Shipping and handling costs are included as a part of cost of goods sold, with the exception of certain handling costs included in selling, general and administrative expenses in the amount of $37.9 million, $35.4 million and $30.5 million for the years ended December 31, 2018, 2017 and 2016,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for the years ended December 31, 2018, 2017 and 2016 consisted of the following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32" w:lineRule="auto"/>
        <w:rPr>
          <w:sz w:val="20"/>
          <w:szCs w:val="20"/>
          <w:color w:val="auto"/>
        </w:rPr>
      </w:pPr>
      <w:r>
        <w:rPr>
          <w:rFonts w:ascii="Times New Roman" w:cs="Times New Roman" w:eastAsia="Times New Roman" w:hAnsi="Times New Roman"/>
          <w:sz w:val="18"/>
          <w:szCs w:val="18"/>
          <w:color w:val="auto"/>
        </w:rPr>
        <w:t>The Company repurchased its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due December 1, 2021 during 2018, and as a result, recorded approximately $24.5 million in a loss on extinguishment of debt reflected in “Interest expense, net”. This was offset by approximately $4.7 million of accelerated amortization of a deferred gain related to a terminated interest rate swap agreement associated with the senior notes. Refer to Note 7 for further information.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Refer to Note 6 for additional information regarding the Company’s income taxes.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during each period. Diluted net income per common share assumes the exercise of outstanding stock-settled stock appreciation rights (“SSARs”) and the vesting of performance share awards and restricted stock units using the treasury stock method when the effects of such assumptions are dilutive.</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net income attributable to AGCO Corporation and its subsidiaries and weighted average common shares outstanding for purposes of calculating basic and diluted net income per share during the years ended December 31, 2018, 2017 and 2016 is as follows (in millions, except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net income per share attributable to AGCO Corporation and subsidiaries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SSARs, performance share awards and restricted stock units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78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Weighted average number of common shares and common share equivalents outstanding for purposes of</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41"/>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computing diluted net income per share</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per share attributable to AGCO Corporation and subsidiaries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SSARs to purchase 0.5 million shares, 0.3 million shares and 1.1 million shares of the Company’s common stock were outstanding for the years ended December 31, 2018, 2017 and 2016, respectively, but were not included in the calculation of weighted average common and common equivalent shares outstanding because they had an antidilutive impact.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reports comprehensive income (loss), defined as the total of net income (loss) and all other non-owner changes in equity, and the components thereof in its Consolidated Statements of Stockholders’ Equity and Consolidated Statements of Comprehensive Income. The components of other comprehensive (loss) income and the related tax effects for the years ended December 31, 2018, 2017 and 2016 are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r>
      <w:tr>
        <w:trPr>
          <w:trHeight w:val="238"/>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AGCO Corporation and Subsidiaries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Interests</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Before-tax</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After-tax</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After-tax</w:t>
            </w:r>
          </w:p>
        </w:tc>
      </w:tr>
      <w:tr>
        <w:trPr>
          <w:trHeight w:val="238"/>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on derivatives</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components of other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43"/>
        </w:trPr>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r>
      <w:tr>
        <w:trPr>
          <w:trHeight w:val="238"/>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AGCO Corporation and Subsidiaries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Interests</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Before-tax</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After-tax</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After-tax</w:t>
            </w:r>
          </w:p>
        </w:tc>
      </w:tr>
      <w:tr>
        <w:trPr>
          <w:trHeight w:val="238"/>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on derivatives</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components of other 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43"/>
        </w:trPr>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r>
      <w:tr>
        <w:trPr>
          <w:trHeight w:val="238"/>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AGCO Corporation and Subsidiaries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Interests</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2016</w:t>
            </w: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Before-tax</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After-tax</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After-tax</w:t>
            </w:r>
          </w:p>
        </w:tc>
      </w:tr>
      <w:tr>
        <w:trPr>
          <w:trHeight w:val="238"/>
        </w:trPr>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on derivatives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5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components of other 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uses foreign currency contracts to hedge the foreign currency exposure of certain receivables and payables. The contracts are for periods consistent with the exposure being hedged and generally have maturities of one year or less. These contracts are classified as non-designated derivative instruments. The Company also enters into foreign currency contracts designated as cash flow hedges of expected sales. The Company’s foreign currency contracts mitigate risk due to exchange rate fluctuations because gains and losses on these contracts generally offset losses and gains on the exposure being hedged. The notional amounts of the foreign currency contracts do not represent amounts exchanged by the parties and, therefore, are not a measure of the Company’s risk. The amounts exchanged are calculated on the basis of the notional amounts and other terms of the contracts. The credit and market risks under these contracts are not considered to be significant.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interest expense is, in part, sensitive to the general level of interest rates, and the Company manages its exposure to interest rate risk through the mix of floating rate and fixed rate debt. From time to time, the Company enters into interest rate swap agreements in order to manage the Company’s exposure to interest rate fluctuations.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uses non-derivative and, periodically, derivative instruments to hedge a portion of the Company’s net investment in foreign operations against adverse movements in exchange rates.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Company’s hedging policy prohibits it from entering into any foreign currency contracts for speculative trading purposes. Refer to Note 11 for additional information regarding the Company’s derivative instruments and hedging activities.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Accounting Standards Update (“ASU”) 2018-14, “Disclosure Framework - Changes to the Disclosure Requirements for Defined Benefit Plans” (“ASU 2018-14”). The standard revises the annual disclosure requirements by removing disclosures no longer considered cost beneficial, clarifying specific requirements of disclosures and adding certain disclosures identified as relevant. ASU 2018-14 is effective for annual periods beginning after December 15, 2020. The standard should be applied on a retrospective basis to all periods presented. Early adoption is permitted. The Company early adopted the standard for the year ended December 31, 2018. The standard did not have an impact on the Company’s results of operations, financial condition and cash flows.</w:t>
      </w:r>
    </w:p>
    <w:p>
      <w:pPr>
        <w:spacing w:after="0" w:line="18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2018-13, “Disclosure Framework - Changes to the Disclosure Requirements for Fair Value Measurement” (“ASU 2018-13”). The standard revises the disclosure requirements by removing disclosures no longer considered cost beneficial, modifying specific requirements of disclosures and adding certain disclosures identified as relevant. ASU 2018-13 is effective for annual periods beginning after December 15, 2019, and interim periods within those annual periods. Early adoption is permitted. Certain amendments of the standard should be applied prospectively for only the most recent interim or annual period presented in the initial fiscal year of adoption. All other amendments of the standard should be applied retrospectively to all periods presented. The standard will not have an impact on the Company’s results of operations, financial condition and cash flows.</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February 2018, the FASB issued ASU 2018-02, “Reclassification of Certain Tax Effects from Accumulated Other Comprehensive Income” (“ASU 2018-02”), which allows for the election to reclassify the disproportionate income tax effects of the Tax Cuts and Jobs Act (the “2017 Tax Act”) on items within accumulated other comprehensive income (loss) to retained earnings. These disproportionate income tax effect items are referred to as “stranded tax effects.” The amendments within ASU 2018-02 only relate to the reclassification of the income tax effects of the 2017 Tax Act. Certain disclosures are required in the period of adoption as to whether an entity has elected to reclassify the stranded tax effects. ASU 2018-02 is effective for annual periods beginning after December 15, 2018, and interim periods within those annual periods. The standard should be applied either in the period of adoption or retrospectively to each period in which the effect of the change in the U.S. corporate income tax rate in the 2017 Tax Act is recognized. Early adoption is permitted for any interim or annual period. The Company is currently evaluating the impact of adopting this standard on the Company’s results of operations, financial condition and cash flows, but does not expect the impact to be material.</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August 2017, the FASB issued ASU 2017-12, “Targeted Improvements to Accounting for Hedging Activities” (“ASU 2017-12”), which aligns an entity’s risk management activities and financial reporting for hedge relationships through changes to both the designation and measurement guidance for qualifying hedging relationships and the presentation of hedge results. The amendments include 1) the ability to apply hedge accounting for risk components in hedging relationships involving nonfinancial risk and interest rate risk, 2) new alternatives for measuring the hedged item for fair value hedges of interest rate risk, 3) elimination of the requirement to separately measure and report hedge ineffectiveness, 4) requirement to present the earnings effect of the hedging instrument in the same income statement line in which the earnings effect of the hedged item is reported and 5) less stringent requirements for effectiveness testing, hedge documentation and applying the critical terms match method. ASU 2017-12 is effective for annual periods beginning after December 15, 2018, and interim periods within those annual periods using a prospective approach. Early adoption is permitted for any interim or annual period. The amendments should be applied to existing hedging relationships on the date of adoption. The Company adopted the standard on January 1, 2018. The standard did not have a material impact on the Company’s results of operations, financial condition and cash flows.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March 2017, the FASB issued ASU 2017-07, “Improving the Presentation of Net Periodic Pension Cost and Net Periodic Postretirement Benefit Cost” (“ASU 2017-07”), which requires the service cost component of net periodic pension and postretirement benefit cost be included in the same line item as other compensation costs arising from services rendered by employees. The other components of net periodic pension and postretirement benefit cost are required to be classified outside the subtotal of income from operations. Of the components of net periodic pension and postretirement benefit cost, only the service cost component will be eligible for asset capitalization. ASU 2017-07 is effective for annual periods beginning after December 15, 2017, and interim periods within those annual periods, using a retrospective approach for the presentation of the service cost component and other components of net periodic pension and postretirement benefit cost in the statement of operations; and a prospective approach for the capitalization of the service cost component of net periodic pension and postretirement benefit cost in assets. Early adoption is permitted for any interim or annual period. ASU 2017-07 allows a practical expedient for applying the retrospective presentation requirements.The Company adopted ASU 2017-07 on January 1, 2018 and restrospectively applied the standard to the presentation of the other components of net periodic pension and postretirement benefit costs in the Company’s Consolidated Statements of Operations. As part of the adoption, the Company elected to use the practical expedient, which allowed the Company to use the information previously disclosed as the basis for applying the retrospective presentation requirements of the standard. For the year ended December 31, 2017 and 2016, the Company reclassified approximately $1.1 million of expense and $1.4 million of income related to the other components of net periodic pension and postretirement costs from “Selling, general and administrative expenses” and “Engineering expenses” to “Other expenses, net” as a result of the retrospective application of ASU 2017-07.</w:t>
      </w:r>
    </w:p>
    <w:p>
      <w:pPr>
        <w:spacing w:after="0" w:line="19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“Simplifying the Test for Goodwill Impairment” (“ASU 2017-04”), which eliminates Step 2 from the goodwill impairment test. Under the standard, an entity should perform its goodwill impairment test by comparing the fair value of a reporting unit with its carrying amount, resulting in an impairment charge that is the amount by which the carrying amount exceeds the reporting unit’s fair value. The impairment charge, however, should not exceed the total amount of goodwill allocated to a reporting unit. The impairment assessment under ASU 2017-04 applies to all reporting units, including those with a zero or negative carrying amount. ASU 2017-04 is effective for annual periods beginning after December 15, 2019, and interim periods within those annual periods using a prospective approach. Early adoption is permitted for any interim or annual goodwill impairment test performed on testing dates after January 1, 2017. The Company expects to adopt ASU 2017-04 effective January 1, 2020 and will apply the standard to all impairment tests performed thereafter.</w:t>
      </w:r>
    </w:p>
    <w:p>
      <w:pPr>
        <w:spacing w:after="0" w:line="18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November 2016, the FASB issued ASU 2016-18, “Restricted Cash” (“ASU 2016-18”). which requires that a statement of cash flows explain the change during the period in the total of cash, cash equivalents and amounts generally described as restricted cash or restricted cash equivalents. As a result, amounts generally described as restricted cash and restricted cash equivalents should be included with cash and cash equivalents when reconciling the beginning-of-period and end-of-period total amounts shown on the statement of cash flows. ASU 2016-18 is effective for annual periods beginning after December 15, 2017, and interim period within those annual periods using a retrospective approach. Early adoption is permitted in any interim or annual period. The Company adopted ASU 2016-18 on January 1, 2018. The adoption did not have a material impact on its cash flows.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2016-16, “Intra-Entity Transfers of Assets Other Than Inventory” (“ASU 2016-16”), which requires recognition of the income tax consequences of an intra-entity transfer of an asset other than inventory when the transfer occurs. Consequently, the standard eliminates the exception to the recognition of current and deferred income taxes for an intra-entity asset transfer other than for inventory until the asset has been sold to an outside party. ASU 2016-16 is effective for annual periods beginning after December 15, 2017, and interim periods within those annual periods using a modified retrospective approach. Early adoption is permitted in any interim or annual period. The Company adopted ASU 2016-16 on January 1, 2018. The adoption did not have a material impact on its results of operations, financial condition and cash flows.</w:t>
      </w:r>
    </w:p>
    <w:p>
      <w:pPr>
        <w:spacing w:after="0" w:line="18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on Financial Instruments” (“ASU 2016-13”), which requires measurement and recognition of expected versus incurred credit losses for financial assets held. ASU 2016-13 is effective for annual periods beginning after December 15, 2019, and interim periods within those annual periods as the adoption of the standard relates to the Company. However, the standard does not have to be adopted by the Company’s finance joint ventures until annual periods beginning after December 15, 2020, and interim periods within those annual periods. This standard will likely impact the results of operations and financial condition of the Company’s finance joint ventures and as a result, will likely impact the Company’s “Investment in affiliates” and “Equity in net earnings of affiliates”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adoption. The Company’s finance joint ventures are currently evaluating the standard’s impact to their results of operations and financial condition.</w:t>
      </w:r>
    </w:p>
    <w:p>
      <w:pPr>
        <w:spacing w:after="0" w:line="239"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In February 2016, the FASB issued ASU 2016-02, “Leases” (“ASU 2016-02”), which superseded the existing lease guidance under current U.S. GAAP. ASU 2016-02 is based on the principle that entities should recognize assets and liabilities arising from leases. The new standard does not significantly change the lessees’ recognition, measurement and presentation of expenses and cash flows from the previous accounting standard and leases continue to be classified as finance or operating. ASU 2016-02’s primary change is the requirement for entities to recognize a lease liability for payments and a right-of-use (“ROU”) asset representing the right to use the leased asset during the term of an operating lease arrangement. Lessees were permitted to make an accounting policy election to not recognize the asset and liability for leases with a term of 12 months or less. Lessors’ accounting under the new standard was largely unchanged from the previous accounting standard. In addition, ASU 2016-02 expanded the disclosure requirements of lease arrangements. The new standard was effective for reporting periods beginning after December 15, 2018, and interim periods within those annual periods. Upon adoption, lessees and lessors were required to recognize and measure leases at the beginning of the earliest period presented using a modified retrospective approach. In July 2018, the FASB issued ASU 2018-11, “Targeted Improvements”, which allowed for a new, optional transition method that provided the option to use the effective date as the date of initial application on transition. Under this option, the comparative periods would continue to apply the legacy guidance in ASC 840, including the disclosure requirements, and a cumulative effect adjustment would be recognized in the period of adoption rather than the earliest period presented. Under this transition option, comparative reporting would not be required and the provisions of the standard would be applied prospectively to leases in effect at the date of adoption. The Company has completed the design of new processes and internal controls, which included the implementation of a software solution and the evaluation of the Company’s population of leased assets to assess the effect of the new guidance on the Company’s financial statements. The Company adopted the new guidance effective January 1, 2019 using a modified retrospective approach through a cumulative effect adjustment to “Retained earnings” as of the beginning of the period of adoption. The new standard provided a number of optional practical expedients in transition. The Company elected the “package of practical expedients” which permitted the Company not to reassess under the new standard its prior conclusions about lease identification, lease classification and initial direct costs. The new standard has a material impact on the Company’s Consolidated Balance Sheets related to the recognition of new ROU assets and lease liabilities for operating leases, as well as providing new disclosures about the Company’s leasing activities. The Company does not expect material changes in its leasing activities subsequent to adoption. Based on the Company’s current lease portfolio, the adoption of the standard as of January 1, 2019 is expected to result in ROU assets and liabilities ranging from $195.0 million to $215.0 million. The Company has elected the short-term lease exemption for all leases with a term of 12 months or less for both existing and ongoing leases. The Company elected the practical expedient to separate lease and non-lease components for a majority of its leases, other than real estate and office equipment leases.</w:t>
      </w:r>
    </w:p>
    <w:p>
      <w:pPr>
        <w:spacing w:after="0" w:line="200" w:lineRule="exact"/>
        <w:rPr>
          <w:sz w:val="20"/>
          <w:szCs w:val="20"/>
          <w:color w:val="auto"/>
        </w:rPr>
      </w:pP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(“ASU 2014-09”), which provides a single, comprehensive revenue recognition model for all contracts with customers with a five-step analysis in determining when and how revenue is recognized. The new model requires revenue recognition to depict the transfer of promised goods or services to customers at an amount that reflects the consideration expected to be received in exchange for those goods or services. Additional disclosures also are required to enable users to understand the nature, amount, timing and uncertainty of revenue and cash flows arising from contracts with customers, including significant judgments and changes in those judgments. Entities have the option to apply the new standard under a full retrospective approach to each prior reporting period presented, or a modified retrospective approach with the cumulative effect of initial adoption and application within the Consolidated Statement of Stockholders’ Equity. The Company adopted ASU 2014-09 with an application date of January 1, 2018 using the modified retrospective approach. Under this method, the Company recognized the cumulative effect of initially applying ASU 2014-09 as an adjustment to the opening balance of stockholders’ equity as of January 1, 2018 within “Retained earnings.” The cumulative effect was approximately $0.4 million, which was related to the recognition of contract assets and contract liabilities for the value of the expected replacement parts returns. The comparative information has not been adjusted and continues to be reported under ASU 2009-13, “Revenue Recognition.” The details of the significant changes and quantitative impact of the changes are discussed below. The Company has enhanced its accounting policies and practices, business processes, systems and controls, as well as designed and implemented specific internal controls over the implementation and adherence to the standard, including new disclosure requirements.</w:t>
      </w:r>
    </w:p>
    <w:p>
      <w:pPr>
        <w:spacing w:after="0" w:line="226"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8"/>
          <w:szCs w:val="18"/>
          <w:color w:val="auto"/>
        </w:rPr>
        <w:t>The Company has various promotional and annual return programs with respect to the sale of replacement parts whereby the Company’s dealers, distributors and other customers can return specified replacement parts pursuant to such programs. The Company previously recognized revenue for the sale of replacement parts and recorded a corresponding provision for the amount of expected returns at the time of sale. Pursuant to the adoption of ASU 2014-09, the Company recognized a contract asset for the right to recover returned replacement parts at cost, reflected within “Other current assets” in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Conversely, the provision for expected returns is recorded at the sales value of expected returns, reflected as a contract liability within “Accrued expenses.” The Company’s estimates of returns are based on the terms of the promotional and annual return programs and anticipated returns in the future.</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adopting ASU 2014-09 on the Company’ s Consolidated Balance Sheet as of December 31, 2018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Balances Without</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Adoption of ASU</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 Due to</w:t>
            </w:r>
          </w:p>
        </w:tc>
      </w:tr>
      <w:tr>
        <w:trPr>
          <w:trHeight w:val="238"/>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0" w:type="dxa"/>
            <w:vAlign w:val="bottom"/>
          </w:tcPr>
          <w:p>
            <w:pPr>
              <w:spacing w:after="0"/>
              <w:rPr>
                <w:sz w:val="20"/>
                <w:szCs w:val="20"/>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2014-09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Adoption</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6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6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impact of adopting ASU 2014-09 on the Consolidated Statement of Operations and Consolidated Statement of Cash Flows for the year ended December 31, 2018 was not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9"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On October 2, 2017, the Company acquired the hay and forage division of the Lely Group (“Lely”) for approximately €80.2 million (or approximately $94.6 million), net of cash acquired of approximately €10.1 million (or approximately $11.9 million). The Lely acquisition, with manufacturing locations in northern Germany, will allow the Company to expand its product offering of hay and forage equipment, including balers and loader wagons. The acquisition was financed by the Company’s credit facility (Note 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the assets acquired and liabilities assumed as of the acquisition date are presented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240665</wp:posOffset>
            </wp:positionV>
            <wp:extent cx="72034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assets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41910</wp:posOffset>
            </wp:positionV>
            <wp:extent cx="72034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wp:posOffset>
            </wp:positionV>
            <wp:extent cx="720344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72034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wp:posOffset>
            </wp:positionV>
            <wp:extent cx="720344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87.0</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17.8</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25.8</w:t>
      </w:r>
    </w:p>
    <w:p>
      <w:pPr>
        <w:spacing w:after="0" w:line="7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226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4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23.5</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8.2</w:t>
      </w:r>
    </w:p>
    <w:p>
      <w:pPr>
        <w:spacing w:after="0" w:line="7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226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12261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59055</wp:posOffset>
            </wp:positionV>
            <wp:extent cx="1226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760" w:space="720"/>
            <w:col w:w="1920"/>
          </w:cols>
          <w:pgMar w:left="240" w:top="121" w:right="259" w:bottom="1440" w:gutter="0" w:footer="0" w:header="0"/>
          <w:type w:val="continuous"/>
        </w:sectPr>
      </w:pP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acquired identifiable intangible assets of Lely as of the date of the acquisition are summarized in the following table (in millions):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2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Useful</w:t>
            </w:r>
          </w:p>
        </w:tc>
      </w:tr>
      <w:tr>
        <w:trPr>
          <w:trHeight w:val="198"/>
        </w:trPr>
        <w:tc>
          <w:tcPr>
            <w:tcW w:w="8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Intangible Asset</w:t>
            </w:r>
          </w:p>
        </w:tc>
        <w:tc>
          <w:tcPr>
            <w:tcW w:w="240" w:type="dxa"/>
            <w:vAlign w:val="bottom"/>
          </w:tcPr>
          <w:p>
            <w:pPr>
              <w:spacing w:after="0"/>
              <w:rPr>
                <w:sz w:val="17"/>
                <w:szCs w:val="17"/>
                <w:color w:val="auto"/>
              </w:rPr>
            </w:pPr>
          </w:p>
        </w:tc>
        <w:tc>
          <w:tcPr>
            <w:tcW w:w="11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48"/>
        </w:trPr>
        <w:tc>
          <w:tcPr>
            <w:tcW w:w="1240" w:type="dxa"/>
            <w:vAlign w:val="bottom"/>
            <w:tcBorders>
              <w:top w:val="single" w:sz="8" w:color="auto"/>
              <w:bottom w:val="single" w:sz="8" w:color="CCEEFF"/>
            </w:tcBorders>
          </w:tcPr>
          <w:p>
            <w:pPr>
              <w:spacing w:after="0"/>
              <w:rPr>
                <w:sz w:val="4"/>
                <w:szCs w:val="4"/>
                <w:color w:val="auto"/>
              </w:rPr>
            </w:pPr>
          </w:p>
        </w:tc>
        <w:tc>
          <w:tcPr>
            <w:tcW w:w="7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 years</w:t>
            </w:r>
          </w:p>
        </w:tc>
      </w:tr>
      <w:tr>
        <w:trPr>
          <w:trHeight w:val="27"/>
        </w:trPr>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 years</w:t>
            </w:r>
          </w:p>
        </w:tc>
      </w:tr>
      <w:tr>
        <w:trPr>
          <w:trHeight w:val="237"/>
        </w:trPr>
        <w:tc>
          <w:tcPr>
            <w:tcW w:w="12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of Lely have been included in the Company’s Consolidated Financial Statements as of and from the date of acquisition. The associated goodwill has been included in the Company’s Europe/Middle East geographical reportable segment. Proforma results related to the acquisition were not material.</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September 1, 2017, the Company acquired Precision Planting LLC (“Precision Planting”) for approximately $198.1 million, net of cash acquired of approximately $1.6 million. Precision Planting, headquartered in Tremont, Illinois, is a leading manufacturer of high-tech planting equipment. The acquisition of Precision Planting provided the Company an opportunity to expand its precision farming technology offerings on a global basis. The acquisition was financed by the Company’s credit facility (Note 7).</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the assets acquired and liabilities assumed as of the acquisition date are presented in the following table (in millions):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9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9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9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w:t>
            </w:r>
          </w:p>
        </w:tc>
      </w:tr>
      <w:tr>
        <w:trPr>
          <w:trHeight w:val="277"/>
        </w:trPr>
        <w:tc>
          <w:tcPr>
            <w:tcW w:w="94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7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9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9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199.7</w:t>
            </w:r>
          </w:p>
        </w:tc>
      </w:tr>
      <w:tr>
        <w:trPr>
          <w:trHeight w:val="20"/>
        </w:trPr>
        <w:tc>
          <w:tcPr>
            <w:tcW w:w="9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acquired identifiable intangible assets of Precision Planting as of the date of the acquisition are summarized in the following table (in millions):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2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Useful</w:t>
            </w:r>
          </w:p>
        </w:tc>
      </w:tr>
      <w:tr>
        <w:trPr>
          <w:trHeight w:val="198"/>
        </w:trPr>
        <w:tc>
          <w:tcPr>
            <w:tcW w:w="8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Intangible Asset</w:t>
            </w:r>
          </w:p>
        </w:tc>
        <w:tc>
          <w:tcPr>
            <w:tcW w:w="240" w:type="dxa"/>
            <w:vAlign w:val="bottom"/>
          </w:tcPr>
          <w:p>
            <w:pPr>
              <w:spacing w:after="0"/>
              <w:rPr>
                <w:sz w:val="17"/>
                <w:szCs w:val="17"/>
                <w:color w:val="auto"/>
              </w:rPr>
            </w:pPr>
          </w:p>
        </w:tc>
        <w:tc>
          <w:tcPr>
            <w:tcW w:w="11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48"/>
        </w:trPr>
        <w:tc>
          <w:tcPr>
            <w:tcW w:w="1240" w:type="dxa"/>
            <w:vAlign w:val="bottom"/>
            <w:tcBorders>
              <w:top w:val="single" w:sz="8" w:color="auto"/>
              <w:bottom w:val="single" w:sz="8" w:color="CCEEFF"/>
            </w:tcBorders>
          </w:tcPr>
          <w:p>
            <w:pPr>
              <w:spacing w:after="0"/>
              <w:rPr>
                <w:sz w:val="4"/>
                <w:szCs w:val="4"/>
                <w:color w:val="auto"/>
              </w:rPr>
            </w:pPr>
          </w:p>
        </w:tc>
        <w:tc>
          <w:tcPr>
            <w:tcW w:w="7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 years</w:t>
            </w: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21"/>
                <w:szCs w:val="21"/>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 years</w:t>
            </w:r>
          </w:p>
        </w:tc>
      </w:tr>
      <w:tr>
        <w:trPr>
          <w:trHeight w:val="237"/>
        </w:trPr>
        <w:tc>
          <w:tcPr>
            <w:tcW w:w="12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of Precision Planting have been included in the Company’s Consolidated Financial Statements as of and from the date of acquisition. The associated tax deductible goodwill has been included in the Company’s North America geographical reportable segment. Proforma results related to the acquisition were not material.</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September 12, 2016, the Company acquired Cimbria Holdings Limited (“Cimbria”) for DKK 2,234.9 million (or approximately $337.5 million), net of cash acquired of approximately DKK 83.4 million (or approximately $12.6 million). Cimbria, headquartered in Thisted, Denmark, is a leading manufacturer of products and solutions for the processing, handling and storage of seed and grain. The acquisition was financed by the Company’s credit facility (Note 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the assets acquired and liabilities assumed as of the acquisition date are presented in the following table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128.9</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237.9</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9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462.9</w:t>
            </w:r>
          </w:p>
        </w:tc>
      </w:tr>
      <w:tr>
        <w:trPr>
          <w:trHeight w:val="277"/>
        </w:trPr>
        <w:tc>
          <w:tcPr>
            <w:tcW w:w="94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and other noncurrent liabilities</w:t>
            </w: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112.8</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350.1</w:t>
            </w:r>
          </w:p>
        </w:tc>
      </w:tr>
      <w:tr>
        <w:trPr>
          <w:trHeight w:val="20"/>
        </w:trPr>
        <w:tc>
          <w:tcPr>
            <w:tcW w:w="9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21" w:right="25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acquired identifiable intangible assets of Cimbria as of the date of the acquisition are summarized in the following table (in millions)</w:t>
      </w:r>
      <w:r>
        <w:rPr>
          <w:rFonts w:ascii="Times New Roman" w:cs="Times New Roman" w:eastAsia="Times New Roman" w:hAnsi="Times New Roman"/>
          <w:sz w:val="19"/>
          <w:szCs w:val="19"/>
          <w:color w:val="auto"/>
        </w:rPr>
        <w:t>:</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2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Useful</w:t>
            </w:r>
          </w:p>
        </w:tc>
      </w:tr>
      <w:tr>
        <w:trPr>
          <w:trHeight w:val="198"/>
        </w:trPr>
        <w:tc>
          <w:tcPr>
            <w:tcW w:w="8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Intangible Asset</w:t>
            </w:r>
          </w:p>
        </w:tc>
        <w:tc>
          <w:tcPr>
            <w:tcW w:w="260" w:type="dxa"/>
            <w:vAlign w:val="bottom"/>
          </w:tcPr>
          <w:p>
            <w:pPr>
              <w:spacing w:after="0"/>
              <w:rPr>
                <w:sz w:val="17"/>
                <w:szCs w:val="17"/>
                <w:color w:val="auto"/>
              </w:rPr>
            </w:pPr>
          </w:p>
        </w:tc>
        <w:tc>
          <w:tcPr>
            <w:tcW w:w="11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48"/>
        </w:trPr>
        <w:tc>
          <w:tcPr>
            <w:tcW w:w="1240" w:type="dxa"/>
            <w:vAlign w:val="bottom"/>
            <w:tcBorders>
              <w:top w:val="single" w:sz="8" w:color="auto"/>
              <w:bottom w:val="single" w:sz="8" w:color="CCEEFF"/>
            </w:tcBorders>
          </w:tcPr>
          <w:p>
            <w:pPr>
              <w:spacing w:after="0"/>
              <w:rPr>
                <w:sz w:val="4"/>
                <w:szCs w:val="4"/>
                <w:color w:val="auto"/>
              </w:rPr>
            </w:pPr>
          </w:p>
        </w:tc>
        <w:tc>
          <w:tcPr>
            <w:tcW w:w="7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 years</w:t>
            </w:r>
          </w:p>
        </w:tc>
      </w:tr>
      <w:tr>
        <w:trPr>
          <w:trHeight w:val="24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12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 years</w:t>
            </w:r>
          </w:p>
        </w:tc>
      </w:tr>
      <w:tr>
        <w:trPr>
          <w:trHeight w:val="237"/>
        </w:trPr>
        <w:tc>
          <w:tcPr>
            <w:tcW w:w="12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12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operations of Cimbria have been included in the Company’s Consolidated Financial Statements as of and from the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associated goodwill has been included in the Company’s Europe/Middle East and Asia/Pacific/Africa geographical reportable segments.</w:t>
      </w:r>
    </w:p>
    <w:p>
      <w:pPr>
        <w:spacing w:after="0" w:line="20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February 2, 2016, the Company acquired Tecno Poultry Equipment S.p.A (“Tecno”) for approximately €58.7 million (or approximately $63.8 million). The Company acquired cash of approximately €17.6 million (or approximately $19.1 million) associated with the acquisition. Tecno, headquartered in Ronchi Di Villafranca, Italy, manufactures and supplies poultry housing and related products, including egg collection equipment and trolley feeding systems. The acquisition was financed through the Company’s credit facility (Note 7). The Company allocated the purchase price to the assets acquired and liabilities assumed based on their fair values as of the acquisition date. The acquired net assets primarily consisted of accounts receivable, inventories, accounts payable and accrued expenses, deferred revenue, property, plant and equipment, and customer relationship, technology and trademark identifiable intangible assets. The Company recorded approximately $27.5 million of customer relationship, technology and trademark identifiable intangible assets and approximately $20.4 million of goodwill associated with the acquisition. The results of operations of Tecno have been included in the Company’s Consolidated Financial Statements as of and from the date of acquisition. The associated goodwill has been included in the Company’s Europe/Middle East and North America geographical reportable segments.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acquired identifiable intangible assets of Tecno as of the date of the acquisition are summarized in the following table (in millions):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Useful</w:t>
            </w: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Intangible Asset</w:t>
            </w:r>
          </w:p>
        </w:tc>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6"/>
              </w:rPr>
              <w:t>Life</w:t>
            </w:r>
          </w:p>
        </w:tc>
        <w:tc>
          <w:tcPr>
            <w:tcW w:w="0" w:type="dxa"/>
            <w:vAlign w:val="bottom"/>
          </w:tcPr>
          <w:p>
            <w:pPr>
              <w:spacing w:after="0"/>
              <w:rPr>
                <w:sz w:val="1"/>
                <w:szCs w:val="1"/>
                <w:color w:val="auto"/>
              </w:rPr>
            </w:pPr>
          </w:p>
        </w:tc>
      </w:tr>
      <w:tr>
        <w:trPr>
          <w:trHeight w:val="48"/>
        </w:trPr>
        <w:tc>
          <w:tcPr>
            <w:tcW w:w="1240" w:type="dxa"/>
            <w:vAlign w:val="bottom"/>
            <w:tcBorders>
              <w:top w:val="single" w:sz="8" w:color="auto"/>
              <w:bottom w:val="single" w:sz="8" w:color="CCEEFF"/>
            </w:tcBorders>
          </w:tcPr>
          <w:p>
            <w:pPr>
              <w:spacing w:after="0"/>
              <w:rPr>
                <w:sz w:val="4"/>
                <w:szCs w:val="4"/>
                <w:color w:val="auto"/>
              </w:rPr>
            </w:pPr>
          </w:p>
        </w:tc>
        <w:tc>
          <w:tcPr>
            <w:tcW w:w="2400" w:type="dxa"/>
            <w:vAlign w:val="bottom"/>
            <w:tcBorders>
              <w:bottom w:val="single" w:sz="8" w:color="CCEEFF"/>
            </w:tcBorders>
          </w:tcPr>
          <w:p>
            <w:pPr>
              <w:spacing w:after="0"/>
              <w:rPr>
                <w:sz w:val="4"/>
                <w:szCs w:val="4"/>
                <w:color w:val="auto"/>
              </w:rPr>
            </w:pPr>
          </w:p>
        </w:tc>
        <w:tc>
          <w:tcPr>
            <w:tcW w:w="47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0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1"/>
                <w:szCs w:val="21"/>
                <w:color w:val="auto"/>
              </w:rPr>
            </w:pP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780" w:type="dxa"/>
            <w:vAlign w:val="bottom"/>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7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Restructuring Expenses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Beginning in 2014 through 2018, the Company announced and initiated several actions to rationalize employee headcount at various manufacturing facilities and various administrative offices located in Europe, South America, China and the United States in order to reduce costs in response to softening global market demand and lower production volumes. The aggregate headcount reduction was approximately 3,370 employees between 2014 and 2017. During 2018, the Company recorded severance and related costs associated with further rationalizations in connection with the termination of approximately 520 employees. The components of the restructuring expenses are summarized as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Write-down of</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Property, Plant</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Facility Closure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620" w:type="dxa"/>
            <w:vAlign w:val="bottom"/>
          </w:tcPr>
          <w:p>
            <w:pPr>
              <w:spacing w:after="0"/>
              <w:rPr>
                <w:sz w:val="20"/>
                <w:szCs w:val="20"/>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and Equipment</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 provision</w:t>
            </w:r>
          </w:p>
        </w:tc>
        <w:tc>
          <w:tcPr>
            <w:tcW w:w="5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5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provision reversal</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 cash activity</w:t>
            </w:r>
          </w:p>
        </w:tc>
        <w:tc>
          <w:tcPr>
            <w:tcW w:w="5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5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5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5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 provision</w:t>
            </w: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Non-cash expense</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expense</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provision reversal</w:t>
            </w:r>
          </w:p>
        </w:tc>
        <w:tc>
          <w:tcPr>
            <w:tcW w:w="5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 cash activity</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 provision</w:t>
            </w:r>
          </w:p>
        </w:tc>
        <w:tc>
          <w:tcPr>
            <w:tcW w:w="5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5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Non-cash expense</w:t>
            </w:r>
          </w:p>
        </w:tc>
        <w:tc>
          <w:tcPr>
            <w:tcW w:w="5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5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expense</w:t>
            </w:r>
          </w:p>
        </w:tc>
        <w:tc>
          <w:tcPr>
            <w:tcW w:w="5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5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 provision reversal</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 cash activity</w:t>
            </w:r>
          </w:p>
        </w:tc>
        <w:tc>
          <w:tcPr>
            <w:tcW w:w="5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5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5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76"/>
        </w:trPr>
        <w:tc>
          <w:tcPr>
            <w:tcW w:w="56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Accounts Receivable Sales Agreements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December 31, 2018 and 2017, the Company had accounts receivable sales agreements that permit the sale, on an ongoing basis, of a majority of its wholesale receivables in North America, Europe and Brazil to its U.S., Canadian, European and Brazilian finance joint ventures. As of December 31, 2018 and 2017, the cash received from receivables sold under the U.S., Canadian, European and Brazilian accounts receivable sales agreements was approximately $1.4 billion and $1.3 billion, respectively.</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accounts receivable sales agreements in North America, Europe and Brazil, the Company pays an annual servicing fee related to the servicing of the receivables sold. The Company also pays the respective AGCO Finance entities an interest payment calculated based upon LIBOR plus a margin on any non-interest bearing accounts receivable outstanding and sold under the sales agreements. These fees are reflected within losses on the sales of receivables included within “Other expense, net” in the Company’s Consolidated Statements of Operations. The Company does not service the receivables after the sale occurs and does not maintain any direct retained interest in the receivables. The Company reviewed its accounting for the accounts receivable sales agreements and determined that these facilities should be accounted for as off-balance sheet transactions.</w:t>
      </w:r>
    </w:p>
    <w:p>
      <w:pPr>
        <w:spacing w:after="0" w:line="13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Losses on sales of receivables associated with the accounts receivable financing facilities discussed above, reflected within “Other expense, net” in the Company’s Consolidated Statements of Operations, were approximately $36.0 million, $39.2 million and $19.5 million during 2018, 2017 and 2016, respectively.</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Company’s finance joint ventures in Europe, Brazil and Australia also provide wholesale financing directly to the Company’s dealers. The receivables associated with these arrangements are without recourse to the Company. The Company does not service the receivables after the sale occurs and does not maintain any direct retained interest in the receivables. As of December 31, 2018 and 2017, these finance joint ventures had approximately $82.5 million and $41.6 million, respectively, of outstanding accounts receivable associated with these arrangements. The Company reviewed its accounting for these arrangements and determined that these arrangements should be accounted for as off-balance sheet transactions.</w:t>
      </w:r>
    </w:p>
    <w:p>
      <w:pPr>
        <w:spacing w:after="0" w:line="18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sells certain trade receivables under factoring arrangements to other financial institutions around the world. The Company reviewed the sale of such receivables and determined that these arrangements should be accounted for as off-balance sheet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Investments in Affiliates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Investments in affiliates as of December 31, 2018 and 2017 were as follows (in millions):</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79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joint ventures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joint ventures</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affiliates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37"/>
        </w:trPr>
        <w:tc>
          <w:tcPr>
            <w:tcW w:w="79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409.0</w:t>
            </w:r>
          </w:p>
        </w:tc>
      </w:tr>
      <w:tr>
        <w:trPr>
          <w:trHeight w:val="27"/>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Company’s finance joint ventures are located in the United States, Canada, Europe, Brazil, Argentina and Australia, and provide retail financing and wholesale financing to the Company’s retail customers and dealers, respectively. Refer to Note 14 for further information. The Company’s manufacturing joint ventures consist of Groupement International De Mecanique Agricole SA (“GIMA”) (a joint venture with a third-party manufacturer to purchase, design and manufacture components for agricultural equipment in France), a joint venture with third-party manufacturer to assemble tractors in Algeria and a joint venture with a third-party manufacturer to manufacture protein production equipment in China. The other joint ventures represent investments in farm equipment manufacturers, an electronic and software system manufacturer, distributors and licensees.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equity in net earnings of affiliates for the years ended December 31, 2018, 2017 and 2016 were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joint ventures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and other joint ventures</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combined financial information of the Company’s finance joint ventures as of December 31, 2018 and 2017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 were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28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6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7,643.5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8,440.0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6,911.5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7,677.3</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 equity</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762.7</w:t>
            </w:r>
          </w:p>
        </w:tc>
      </w:tr>
      <w:tr>
        <w:trPr>
          <w:trHeight w:val="27"/>
        </w:trPr>
        <w:tc>
          <w:tcPr>
            <w:tcW w:w="79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4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159.0</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majority of the assets of the Company’s finance joint ventures represent finance receivables. The majority of the liabilities represent notes payable and accrued interest. Under the various joint venture agreements, Rabobank or its affiliates provide financing to the joint venture companies. AGCO has a 49% interest in the Company’s finance joint ventures (Note 14).</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2018 and 2017, the Company’s receivables from affiliates were approximately $12.9 million and $23.4 million, respectively. The receivables from affiliates are reflected within “Accounts and notes receivable, net” within the Company’s Consolidated Balance Sheets.</w:t>
      </w:r>
    </w:p>
    <w:p>
      <w:pPr>
        <w:spacing w:after="0" w:line="162" w:lineRule="exact"/>
        <w:rPr>
          <w:sz w:val="20"/>
          <w:szCs w:val="20"/>
          <w:color w:val="auto"/>
        </w:rPr>
      </w:pPr>
    </w:p>
    <w:p>
      <w:pPr>
        <w:ind w:right="1060" w:firstLine="648"/>
        <w:spacing w:after="0" w:line="282" w:lineRule="auto"/>
        <w:rPr>
          <w:sz w:val="20"/>
          <w:szCs w:val="20"/>
          <w:color w:val="auto"/>
        </w:rPr>
      </w:pPr>
      <w:r>
        <w:rPr>
          <w:rFonts w:ascii="Times New Roman" w:cs="Times New Roman" w:eastAsia="Times New Roman" w:hAnsi="Times New Roman"/>
          <w:sz w:val="18"/>
          <w:szCs w:val="18"/>
          <w:color w:val="auto"/>
        </w:rPr>
        <w:t>The portion of the Company’s retained earnings balance that represents undistributed retained earnings of equity method investees was approximately $326.9 million and $321.9 million as of December 31, 2018 and 2017, respectively.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sources of income before income taxes and equity in net earnings of affiliates were as follows for the years ended December 31, 2018, 2017 and 2016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2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by location of the taxing jurisdiction for the years ended December 31, 2018, 2017 and 2016 consisted of the following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43"/>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w:t>
            </w:r>
          </w:p>
        </w:tc>
      </w:tr>
      <w:tr>
        <w:trPr>
          <w:trHeight w:val="237"/>
        </w:trPr>
        <w:tc>
          <w:tcPr>
            <w:tcW w:w="7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7"/>
        </w:trPr>
        <w:tc>
          <w:tcPr>
            <w:tcW w:w="7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December 22, 2017, The Tax Cuts and Jobs Act (“the 2017 Tax Act”) was enacted in the United States. During the three months ended December 31, 2017, the Company recorded a tax provision of approximately $42.0 million in accordance with Staff Accounting Bulletin No. 118, which provided SEC Staff guidance for the application of ASC 740 “Income Taxes,” in the reporting period in which the 2017 Tax Act was enacted. The $42.0 million tax provision recorded included a provisional income tax charge related to a one-time transition tax associated with the mandatory deemed repatriation of unremitted foreign earnings. The tax provision also included a provisional income tax charge associated with the income tax consequences related to the expected future repatriation of certain underlying foreign earnings, as historically, the Company had considered them to be permanently reinvested. The remaining balance of the tax provision primarily related to the remeasurement of certain net deferred tax assets using the lower enacted U.S. Corporate tax rate, as well as other miscellaneous related impacts. During the three months ended December 31, 2018, the Company finalized its calculations related to the 2017 Tax Act and recorded an income tax benefit of approximately $8.5 million.</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income taxes computed at the United States federal statutory income tax rate (21% for 2018 (from 35 percent to 21 percent), and 35% for 2017 and 2016) to the provision for income taxes reflected in the Company’s Consolidated Statements of Operations for the years ended December 31, 2018, 2017 and 2016 is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 at United States federal statutory rate</w:t>
            </w:r>
          </w:p>
        </w:tc>
        <w:tc>
          <w:tcPr>
            <w:tcW w:w="2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effects</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on foreign income which differ from the United States statutory rate</w:t>
            </w:r>
          </w:p>
        </w:tc>
        <w:tc>
          <w:tcPr>
            <w:tcW w:w="2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tax contingency reserves</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Impacts related to the 2017 Tax Act</w:t>
            </w:r>
          </w:p>
        </w:tc>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components of the deferred tax assets and liabilities at December 31, 2018 and 2017 were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w:t>
            </w: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incentive discounts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valuation reserves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Pensions and postretirement health care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and other reserves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credits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r>
      <w:tr>
        <w:trPr>
          <w:trHeight w:val="237"/>
        </w:trPr>
        <w:tc>
          <w:tcPr>
            <w:tcW w:w="9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354.9</w:t>
            </w: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7"/>
        </w:trPr>
        <w:tc>
          <w:tcPr>
            <w:tcW w:w="9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273.0</w:t>
            </w:r>
          </w:p>
        </w:tc>
      </w:tr>
      <w:tr>
        <w:trPr>
          <w:trHeight w:val="27"/>
        </w:trPr>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over book 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229.1</w:t>
            </w: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291.3</w:t>
            </w:r>
          </w:p>
        </w:tc>
      </w:tr>
      <w:tr>
        <w:trPr>
          <w:trHeight w:val="297"/>
        </w:trPr>
        <w:tc>
          <w:tcPr>
            <w:tcW w:w="9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7"/>
        </w:trPr>
        <w:tc>
          <w:tcPr>
            <w:tcW w:w="9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recognized in Consolidated Balance Sheets: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 - noncurrent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112.2</w:t>
            </w: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 -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37"/>
        </w:trPr>
        <w:tc>
          <w:tcPr>
            <w:tcW w:w="9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9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 net deferred tax liability of $11.4 million and $18.3 million as of December 31, 2018 and December 31, 2017, respectively. As reflected in the preceding table, the Company had a valuation allowance against its gross deferred tax assets of approximately $83.9 million and $81.9 million as of December 31, 2018 and 2017, respectively.</w:t>
      </w:r>
    </w:p>
    <w:p>
      <w:pPr>
        <w:spacing w:after="0" w:line="122"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a valuation allowance to fully reserve its net deferred tax assets in the United States and certain foreign jurisdictions. A valuation allowance is established when it is more likely than not that some portion or all of the deferred tax assets will not be realized. The Company assessed the likelihood that its deferred tax assets would be recovered from estimated future taxable income and available tax planning strategies and determined that all adjustments to the valuation allowance were appropriate. In making this assessment, all available evidence was considered including the current economic climate, as well as reasonable tax planning strategies. The Company believes it is more likely than not that the Company will realize its remaining net deferred tax assets, net of the valuation allowance, in future years.</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had net operating loss carryforwards of $249.6 million as of December 31, 2018, with expiration dates as follows: 2019 - $19.5 million; 2020 - $18.8 million; 2021 - $22.9 million and thereafter or unlimited - $188.4 million. The net operating loss carryforwards of $249.6 million were entirely in tax jurisdictions outside of the United States.</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Company paid income taxes of $101.6 million, $111.2 million and $106.2 million for the years ended December 31, 2018, 2017 and 2016, respectively.</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2018 and 2017, the Company had $166.1 million and $163.4 million, respectively, of unrecognized income tax benefits, all of which would affect the Company’s effective tax rate if recognized. At December 31, 2018 and 2017, the Company had approximately $58.5 million and $61.8 million, respectively, of accrued or deferred taxes related to uncertain income tax positions connected with ongoing income tax audits in various jurisdictions that it expects to settle or pay in the next 12 months. The Company accrued approximately $5.6 million and $4.6 million of interest and penalties related to unrecognized</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tax benefits in its provision for income taxes during 2018 and 2017, respectively. At December 31, 2018 and 2017, the Company had accrued interest and penalties related to unrecognized tax benefits of $27.2 million and $23.0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total amounts of gross unrecognized tax benefits as of and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 is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unrecognized income tax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r>
      <w:tr>
        <w:trPr>
          <w:trHeight w:val="243"/>
        </w:trPr>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of prior years for: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judgments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 during the year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Lapses of applicable statute of limitations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unrecognized income tax benefits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163.4</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in various state, local and foreign jurisdictions. The Company and its subsidiaries are routinely examined by tax authorities in these jurisdictions. As of December 31, 2018, a number of income tax examinations in foreign jurisdictions were ongoing. It is possible that certain of these ongoing examinations may be resolved within 12 months. Due to the potential for resolution of federal, state and foreign examinations, and the expiration of various statutes of limitation, it is reasonably possible that the Company’s gross unrecognized income tax benefits balance may materially change within the next 12 months. Due to the number of jurisdictions and issues involved and the uncertainty regarding the timing of any settlements, the Company is unable at this time to provide a reasonable estimate of such change that may occur within the next 12 months. Although there are ongoing examinations in various federal and state jurisdictions, the 2015 through 2018 tax years generally remain subject to examination in the United States by applicable authorities. In the Company’s significant foreign jurisdictions, primarily the United Kingdom, France, Germany, Switzerland, Finland and Brazil, the 2013 through 2018 tax years generally remain subject to examination by their respective tax authorities. In Brazil, the Company is contesting disallowed deductions related to the amortization of certain goodwill amounts (Note 12).</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121" w:right="2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Indebtedness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2018 and 2017 (in millions):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2017</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8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1.056% Senior term loan due 2020</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70"/>
        </w:trPr>
        <w:tc>
          <w:tcPr>
            <w:tcW w:w="78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Senior term loan due 2022</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Credit facility, expires 2023</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70"/>
        </w:trPr>
        <w:tc>
          <w:tcPr>
            <w:tcW w:w="78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Senior term loans due between 2019 and 2028</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449.7</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due 2021</w:t>
            </w:r>
          </w:p>
        </w:tc>
        <w:tc>
          <w:tcPr>
            <w:tcW w:w="1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debt</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1,459.5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1,713.5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 of other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43"/>
        </w:trPr>
        <w:tc>
          <w:tcPr>
            <w:tcW w:w="7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Senior term loans due 2019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indebtedness, less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1,618.1</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(1) Maturity dates are reflected as of December 31, 2018.</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2018, the aggregate scheduled maturities of long-term debt, excluding the current portion of long-term debt, are as follows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w:t>
            </w:r>
          </w:p>
        </w:tc>
      </w:tr>
      <w:tr>
        <w:trPr>
          <w:trHeight w:val="243"/>
        </w:trPr>
        <w:tc>
          <w:tcPr>
            <w:tcW w:w="9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303.2</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r>
      <w:tr>
        <w:trPr>
          <w:trHeight w:val="243"/>
        </w:trPr>
        <w:tc>
          <w:tcPr>
            <w:tcW w:w="9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397.5</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w:t>
            </w:r>
          </w:p>
        </w:tc>
      </w:tr>
      <w:tr>
        <w:trPr>
          <w:trHeight w:val="237"/>
        </w:trPr>
        <w:tc>
          <w:tcPr>
            <w:tcW w:w="97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1,275.3</w:t>
            </w:r>
          </w:p>
        </w:tc>
      </w:tr>
      <w:tr>
        <w:trPr>
          <w:trHeight w:val="27"/>
        </w:trPr>
        <w:tc>
          <w:tcPr>
            <w:tcW w:w="9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payments for interest were approximately $35.2 million, $55.2 million and $58.8 million for the years ended December 31, 2018,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1.056% Senior Term Loan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2014, the Company entered into a term loan with the European Investment Bank (“EIB”), which provided the Company with the ability to borrow up to €200.0 million. The €200.0 million (or approximately $228.7 million as of December 31, 2018) of funding was received on January 15, 2015 with a maturity date of January 15, 2020. The Company has the ability to prepay the term loan before its maturity date. Interest is payable on the term loan at 1.056% per annum, payable quarterly in arrears. The term loan contain covenants regarding, among other things, the incurrence of indebtedness and the making of certain payments, as well as commitments regarding amounts of future research and development expenses in Europe, and is subject to acceleration in the events of default. The Company also has to fulfill financial covenants with respect to a net leverage ratio and interest coverage ratio.</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Senior Term Loan Due 2022</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October 2018, the Company entered in a term loan agreement with Rabobank in the amount of €150.0 million (or approximately $171.5 million as of December 31, 2018). The Company has the ability to prepay the term loan before its maturity date on October 28, 2022. Interest is payable on the term loan quarterly in arrears at an annual rate, equal to the EURIBOR plus a margin ranging from 0.875% to 1.875% based on the Company’s credit rating. The Company also has to fulfill financial covenants with respect to a total debt to EBITDA ratio and an interest coverage ratio.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October 2018, the Company entered into a multi-currency revolving credit facility of $800.0 million. The maturity date of the credit facility is October 17, 2023. Interest accrues on amounts outstanding under the credit facility, at the Company’s option, at either (1) LIBOR plus a margin ranging from 0.875% to 1.875% based on the Company’s credit rating, or (2) the base rate, which is equal to the higher of (i) the administrative agent’s base lending rate for the applicable currency, (ii) the federal funds rate plus 0.5%, and (iii) one-month LIBOR for loans denominated in U.S. dollars plus 1.0%, plus a margin ranging from 0.0% to 0.875% based on the Company’s credit rating. The credit facility contains covenants restricting, among other things, the incurrence of indebtedness and the making of certain payments, including dividends. The Company also has to fulfill financial covenants with respect to a total debt to EBITDA ratio and an interest coverage ratio. As of December 31, 2018, the Company had approximately $114.4 million of outstanding borrowings under the credit facility and the ability to borrow approximately $685.6 million under the facility.</w:t>
      </w:r>
    </w:p>
    <w:p>
      <w:pPr>
        <w:spacing w:after="0" w:line="18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Company’s former revolving credit and term loan facility consisted of an $800.0 million multi-currency revolving credit facility and a €312.0 million term loan facility. The maturity date of the former credit facility was June 26, 2020. Under the former credit facility agreement, interest accrued on amounts outstanding, at the Company’s option, depending on the currency borrowed, at either (1) LIBOR or EURIBOR plus a margin ranging from 1.0% to 1.75% based on the Company’s leverage ratio, or (2) the base rate, which is equal to the higher of (i) the administrative agent’s base lending rate for the applicable currency, (ii) the federal funds rate plus 0.5%, and (iii) one-month LIBOR for loans denominated in U.S. dollars plus 1.0% plus a margin ranging from 0.0% to 0.25% based on the Company’s leverage ratio. The credit facility contained covenants restricting, among other things, the incurrence of indebtedness and the making of certain payments, including dividends, and was subject to acceleration in the event of a default. The Company also had to fulfill financial covenants with respect to a total debt to EBITDA ratio and an interest coverage ratio. As is more fully described in Note 11, the Company entered into an interest rate swap in 2015 to convert the term loan facility’s floating interest rate to a fixed interest rate of 0.33% plus the applicable margin over the remaining life of the term loan facility. In connection with the closing of new credit facility in October 2018, the Company repaid its outstanding €312.0 million (or approximately $360.8 million) term loan under the former revolving credit and term loan facility. The Company recorded approximately $0.9 million in “Interest expense, net,”associated with the write-off of deferred debt issuance costs associated with the repayment. As of December 31, 2017, $471.2 million was outstanding under the Company’s former multi-currency revolving credit facility with approximately $97.0 million outstanding under the multi-currency revolving credit facility and €312.0 million (or approximately $374.2 million) outstanding under the term loan facility.</w:t>
      </w:r>
    </w:p>
    <w:p>
      <w:pPr>
        <w:spacing w:after="0" w:line="19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2015, the Company designated its €312.0 million term loan facility as a hedge of its net investment in foreign operations to offset foreign currency translation gains or losses on the net investment. See Note 11 for additional information about the net investment hedge.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Term Loans Due Between 2019 and 2028</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October 2016, the Company borrowed an aggregate amount of €375.0 million through a group of seven related term loan agreements, and in August 2018, the Company borrowed an additional aggregate amount of indebtedness of €338.0 million through a group of another seven related term loan agreements. Proceeds from the borrowings were used to repay borrowings under the Company’s former revolving credit facility.</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aggregate, the Company has indebtedness of €713.0 million (or approximately $815.3 million as of December 31, 2018) through a group of fourteen related term loan agreements as discussed above. The provisions of the term loan agreements are identical in nature, with the exception of interest rate terms and maturities. The Company has the ability to prepay the term loans before their maturity dates. For the term loans with a fixed interest rate, interest is payable in arrears on an annual basis, with interest rates ranging from 0.70% to 2.26% and a maturity date between October 2019 and August 2028. For the term loans with a floating interest rate, interest is payable in arrears on a semi-annual basis, with interest rates based on the EURIBOR plus a margin ranging from 0.70% to 1.25% and a maturity date between October 2019 and August 2025. The term loans contain covenants restricting, among other things, the incurrence of indebtedness and the making of certain payments, including dividends, and is subject to acceleration in the event of default.</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80"/>
          </w:cols>
          <w:pgMar w:left="240" w:top="121" w:right="27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Indebtedness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April 2016, the Company entered into two term loan agreements with Rabobank, in the amount of €100.0 million and €200.0 million, respectively. The provisions of the two term loans were identical in nature. In December 2017, the Company repaid its €200.0 million (or approximately $239.8 million) term loan and in October 2018, in connection with the new term loan agreement with Rabobank discussed above, the Company repaid its €100.0 million (or approximately $113.2 million) term loan. The Company had the ability to prepay the term loans before their maturity date on April 26, 2021. Interest was payable on the term loans per annum, paid quarterly in arrears, equal to the EURIBOR plus a margin ranging from 1.0% to 1.75% based on the Company’s net leverage ratio. The Company also had to fulfill financial covenants with respect to a total debt to EBITDA ratio and an interest coverage ratio.</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25"/>
          <w:szCs w:val="25"/>
          <w:b w:val="1"/>
          <w:bCs w:val="1"/>
          <w:color w:val="auto"/>
          <w:vertAlign w:val="superscript"/>
        </w:rPr>
        <w:t>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Senior Notes</w:t>
      </w:r>
    </w:p>
    <w:p>
      <w:pPr>
        <w:spacing w:after="0" w:line="162"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The Company’s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due December 1, 2021 constituted senior unsecured indebtedness. Interest was payable on the notes semi-annually in arrears. At any time prior to September 1, 2021, the Company could redeem the notes, in whole or in part from time to time, at its option, at a redemption price equal to the greater of (i) 100% of the principal amount plus accrued and unpaid interest, including additional interest, if any, to, but excluding, the redemption date, or (ii) the sum of the present values of the remaining scheduled payments of principal and interest (exclusive of interest accrued to the date of redemption) discounted to the redemption date at the treasury rate plus 0.5%, plus accrued and unpaid interest, including additional interest, if any. Beginning September 1, 2021, the Company could redeem the notes, in whole or in part from time to time, at its option, at a redemption price equal to 100% of the principal amount plus accrued and unpaid interest, including additional interest, if any. As is more fully described in Note 11, the Company entered into an interest rate swap in 2015 to convert the senior notes’ fixed interest rate to a floating interest rate over the remaining life of the senior notes. During the second quarter of 2016, the Company terminated the interest rate swap. As a result, the Company recorded a deferred gain of approximately $7.3 million associated with the termination, which was being amortized as a reduction to “Interest expense, net” over the remaining term of the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through December 1, 2021.</w:t>
      </w:r>
    </w:p>
    <w:p>
      <w:pPr>
        <w:spacing w:after="0" w:line="11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In May 2018, the Company completed a cash tender offer to purchase any and all of its outstanding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at a cash purchase price of $1,077.50 per $1,000.00 of senior notes. As a result of the tender offer, the Company repurchased approximately $185.9 million of principal amount of the senior notes for approximately $200.3 million, plus accrued interest. The repurchase resulted in a loss on extinguishment of debt of approximately $15.7 million, including associated fees. In October 2018, the Company repurchased the remaining principal amount of the senior notes of approximately $114.1 million for approximately $122.5 million, plus accrued interest. The repurchase resulted in a loss on extinguishment of debt of approximately $8.8 million, including associated fees. As a result of the repurchase of the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the Company recorded a cumulative amount of approximately $4.7 million of accelerated amortization of the deferred gain related to the terminated interest rate swap instrument associated with the senior notes. The losses on extinguishment as well as the accelerated amortization were reflected in “Interest expense, net,” for the year ended December 31, 2018.</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2017, the unamortized portion of the deferred gain was approximately $5.3 million. The amortization for 2018 and 2017 was approximately $5.3 million and $1.3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Indebtedness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December 2018, the Company entered into a term loan with the EIB, which provided the Company with the ability to borrow up to €250.0 million. The €250.0 million (or approximately $284.6 million) of funding was received on January 25, 2019 with a maturity date of January 24, 2025. The Company has the ability to prepay the term loan before its maturity date. Interest is payable on the term loan at 1.002% per annum, payable semi-annually in arrears. The term loan contain covenants regarding, among other things, the incurrence of indebtedness and the making of certain payments, as well as commitments regarding amounts of future research and development expenses in Europe, and is subject to acceleration in the events of default. The Company also has to fulfill financial covenants with respect to a net leverage ratio and interest coverage ratio.</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and Similar Instruments</w:t>
      </w:r>
    </w:p>
    <w:p>
      <w:pPr>
        <w:spacing w:after="0" w:line="229" w:lineRule="exact"/>
        <w:rPr>
          <w:sz w:val="20"/>
          <w:szCs w:val="20"/>
          <w:color w:val="auto"/>
        </w:rPr>
      </w:pPr>
    </w:p>
    <w:p>
      <w:pPr>
        <w:jc w:val="both"/>
        <w:ind w:right="6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arrangements with various banks to issue standby letters of credit or similar instruments, which guarantee the Company’s obligations for the purchase or sale of certain inventories and for potential claims exposure for insurance coverage. At December 31, 2018 and 2017, outstanding letters of credit totaled $14.1 million and $15.2 million, respectively.</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defined benefit pension plans covering certain employees, principally in the United Kingdom, the United States, Germany, Switzerland, Finland, France, Norway and Argentina. The Company also provides certain postretirement health care and life insurance benefits for certain employees, principally in the United States and Brazil.</w:t>
      </w:r>
    </w:p>
    <w:p>
      <w:pPr>
        <w:spacing w:after="0" w:line="17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18"/>
          <w:szCs w:val="18"/>
          <w:color w:val="auto"/>
        </w:rPr>
        <w:t>The Company also maintains an Executive Nonqualified Pension Plan (“ENPP”), which provides certain U.S.-based senior executives with retirement income for a period of 15 years or up to a lifetime annuity, if certain requirements are met. Benefits under the ENPP vest if the participant has attained age 50 with at least ten years of service (five years of which include years of participation in the ENPP), but are not payable until the participant reaches age 65. The lifetime annuity benefit generally will be available only to participants who retire on or after reaching normal retirement age and otherwise have a vested benefit under the ENPP. The ENPP is an unfunded, nonqualified defined benefit pension plan.</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Net annual pension costs for the years ended December 31, 2018, 2017 and 2016 for the Company’s defined benefit pension plans and ENPP are set forth below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60" w:type="dxa"/>
            <w:vAlign w:val="bottom"/>
          </w:tcPr>
          <w:p>
            <w:pPr>
              <w:spacing w:after="0"/>
              <w:rPr>
                <w:sz w:val="17"/>
                <w:szCs w:val="17"/>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65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loss recognized due to settlement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 recognized due to curtailment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annual pension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and postretirement benefits cost, other than the service cost component, are included in “Other expense, net” in the Company’s Consolidated Statements of Operations. Refer to Note 1 for further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1945"/>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determine the net annual pension costs for the Company’s defined benefit pension plans and ENPP for the years ended December 31, 2018, 2017 and 2016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6"/>
        </w:trPr>
        <w:tc>
          <w:tcPr>
            <w:tcW w:w="5900" w:type="dxa"/>
            <w:vAlign w:val="bottom"/>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All plans:</w:t>
            </w: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43"/>
        </w:trPr>
        <w:tc>
          <w:tcPr>
            <w:tcW w:w="5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expected long-term rate of return on plan assets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5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2.0%-5.0%</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590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U.S.-based plans:</w:t>
            </w: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43"/>
        </w:trPr>
        <w:tc>
          <w:tcPr>
            <w:tcW w:w="5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900" w:type="dxa"/>
            <w:vAlign w:val="bottom"/>
            <w:gridSpan w:val="4"/>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Weighted average expected long-term rate of return on plan assets</w:t>
            </w:r>
            <w:r>
              <w:rPr>
                <w:rFonts w:ascii="Times New Roman" w:cs="Times New Roman" w:eastAsia="Times New Roman" w:hAnsi="Times New Roman"/>
                <w:sz w:val="25"/>
                <w:szCs w:val="25"/>
                <w:color w:val="auto"/>
                <w:vertAlign w:val="superscript"/>
              </w:rPr>
              <w:t>(1)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7"/>
        </w:trPr>
        <w:tc>
          <w:tcPr>
            <w:tcW w:w="5900" w:type="dxa"/>
            <w:vAlign w:val="bottom"/>
            <w:gridSpan w:val="4"/>
          </w:tcPr>
          <w:p>
            <w:pPr>
              <w:ind w:left="40"/>
              <w:spacing w:after="0" w:line="247" w:lineRule="exact"/>
              <w:rPr>
                <w:sz w:val="20"/>
                <w:szCs w:val="20"/>
                <w:color w:val="auto"/>
              </w:rPr>
            </w:pPr>
            <w:r>
              <w:rPr>
                <w:rFonts w:ascii="Times New Roman" w:cs="Times New Roman" w:eastAsia="Times New Roman" w:hAnsi="Times New Roman"/>
                <w:sz w:val="18"/>
                <w:szCs w:val="18"/>
                <w:color w:val="auto"/>
              </w:rPr>
              <w:t>Rate of increase in future compensation</w:t>
            </w:r>
            <w:r>
              <w:rPr>
                <w:rFonts w:ascii="Times New Roman" w:cs="Times New Roman" w:eastAsia="Times New Roman" w:hAnsi="Times New Roman"/>
                <w:sz w:val="25"/>
                <w:szCs w:val="25"/>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62"/>
        </w:trPr>
        <w:tc>
          <w:tcPr>
            <w:tcW w:w="5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___________________________________</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2"/>
        </w:trPr>
        <w:tc>
          <w:tcPr>
            <w:tcW w:w="5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  Applicable for U.S. funded, qualified plans.</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88"/>
        </w:trPr>
        <w:tc>
          <w:tcPr>
            <w:tcW w:w="5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(2)  Applicable for U.S. unfunded, nonqualified plan.</w:t>
            </w: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bl>
    <w:p>
      <w:pPr>
        <w:spacing w:after="0" w:line="14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the Company’s cash balance plans with promised interest crediting rates, the weighted-average interest crediting rate was 1.0% and 0.75% for 2018 and 2017, respectively.</w:t>
      </w:r>
    </w:p>
    <w:p>
      <w:pPr>
        <w:spacing w:after="0" w:line="17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Net annual postretirement benefit costs, and the weighted average discount rate used to determine them, for the years ended December 31, 2018, 2017 and 2016 are set forth below (in millions, except percentages):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780" w:type="dxa"/>
            <w:vAlign w:val="bottom"/>
            <w:tcBorders>
              <w:top w:val="single" w:sz="8" w:color="auto"/>
              <w:bottom w:val="single" w:sz="8" w:color="CCEEFF"/>
            </w:tcBorders>
          </w:tcPr>
          <w:p>
            <w:pPr>
              <w:spacing w:after="0"/>
              <w:rPr>
                <w:sz w:val="4"/>
                <w:szCs w:val="4"/>
                <w:color w:val="auto"/>
              </w:rPr>
            </w:pPr>
          </w:p>
        </w:tc>
        <w:tc>
          <w:tcPr>
            <w:tcW w:w="238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1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annual postretirement benefit cost</w:t>
            </w:r>
          </w:p>
        </w:tc>
        <w:tc>
          <w:tcPr>
            <w:tcW w:w="2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reconciliations of the changes in benefit obligation, plan assets and funded status as of December 31, 2018 and 2017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Pension and ENPP</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gridSpan w:val="3"/>
            <w:vMerge w:val="continue"/>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80" w:type="dxa"/>
            <w:vAlign w:val="bottom"/>
            <w:tcBorders>
              <w:top w:val="single" w:sz="8" w:color="auto"/>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0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0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(gains) losses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Amendments</w:t>
            </w:r>
          </w:p>
        </w:tc>
        <w:tc>
          <w:tcPr>
            <w:tcW w:w="10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823.1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and ENPP</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gridSpan w:val="4"/>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1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660" w:type="dxa"/>
            <w:vAlign w:val="bottom"/>
            <w:tcBorders>
              <w:top w:val="single" w:sz="8" w:color="auto"/>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Funded status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Unrecognized net actuarial losses (gains)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 recognized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recognized in Consolidated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Sheets: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long-term asset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Pensions and postretirement health care benefits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57"/>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amount recognized</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Company’s ENPP and defined pension and postretirement benefit plans during the years ended December 31, 2018 and 2017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Before-Tax</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After-Tax</w:t>
            </w:r>
          </w:p>
        </w:tc>
      </w:tr>
      <w:tr>
        <w:trPr>
          <w:trHeight w:val="238"/>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18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7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43"/>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recognized due to settlement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gain arising during the year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37"/>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 as of December 31, 2017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service cost arising during the year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recognized due to settlement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loss arising during the year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 as of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2018, the Company’s accumulated other comprehensive loss included unrecognized net actuarial losses of approximately $356.7 million compared to $360.1 million as of December 31, 2017 related to the Company’s defined benefit pension plans and ENPP. The decrease in unrecognized net actuarial losses between years primarily resulted from higher discount rates at December 31, 2018 compared to December 31, 2017. The unrecognized net actuarial losses will be impacted in future periods by actual asset returns, discount rate changes, currency exchange rate fluctuations, actual demographic experience and certain other factors. For some of the Company’s defined benefit pension plans, these losses, to the extent they exceed 10% of the greater of the plan’s liabilities or the fair value of assets (“the gain/loss corridor”), will be amortized on a straight-line basis over the periods discussed as follows. For the Company’s U.S. salaried, U.S. hourly and U.K. defined benefit pension plans, the population covered is predominantly inactive participants, and losses related to those plans, to the extent they exceed the gain/loss corridor, will be amortized over the average remaining lives of those participants while covered by the respective plan. As of December 31, 2018, the average amortization period was 16 years for the Company’s U.S. defined benefit pension plans and 19 years for the Company’s U.K. defined benefit pension plan. For the Company’s ENPP, the population is predominantly active participants, and losses related to the plan will be amortized over the average future working lifetime of the active participants expected to receive benefits. As of December 31, 2018, the average amortization period was eight for the Company’s ENPP. Unrecognized prior service cost related to the Company’s defined benefit pension plans was approximately $19.5 million as of December 31, 2018 compared to approximately $12.2 million as of December 31, 2017. The increase in the unrecognized prior service cost between years is due primarily to the newly required uniformity of guaranteed minimum pension benefits for men and women related to the Company’s U.K. defined benefit plan, which resulted in an estimation of increased benefits for prior participant service. This requirement was as a result of a judgment by the U.K. High Court in October 2018 which provided clarity on the need to provide uniformity of benefits. The cost of this estimated impact will be amortized over a straight-line basis over the average remaining service period of active employees expected to receive benefits, or the average remaining lives of inactive participants, covered by the U.K. defined benefit plan.</w:t>
      </w:r>
    </w:p>
    <w:p>
      <w:pPr>
        <w:spacing w:after="0" w:line="19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2018, the Company’s accumulated other comprehensive loss related to the Company’s U.S. and Brazilian postretirement health care benefit plans included unrecognized net actuarial gains of approximately $0.6 million as of December 31, 2018 compared to unrecognized net actuarial losses of approximately $3.8 million as of December 31, 2017, of which a loss of approximately $0.3 million and approximately $3.4 million, respectively, related to the Company’s U.S. postretirement benefit plans. The change from unrecognized net actuarial gains as of December 31, 2018 from unrecognized net actuarial losses in the prior year related to the Company’s Brazilian postretirement health care benefit plans primarily was due to lower discount rates as well as plan experience. The decrease in unrecognized net actuarial losses related to the Company’s U.S. postretirement benefit plans was primarily due to higher discount rates as of December 31, 2018 as compared to the previous year. The unrecognized net actuarial gains or losses will be impacted in future periods by discount rate changes, actual demographic experience, actual health care inflation and certain other factors. These gains or losses, to the extent they exceed the gain/loss corridor, will be amortized on a straight-line basis over the average remaining service period of active employees expected to receive benefits, or the average remaining lives of inactive participants, covered under the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postretirement benefit plans. As of December 31, 2018, the average amortization period was 12 years for the Company’s U.S. postretirement benefit plans. As of December 31, 2018, the net prior service cost related to the Company’s U.S. and Brazilian postretirement health care benefit plans was approximately $3.1 million compared to approximately $3.2 million as of December 31, 2017.</w:t>
      </w:r>
    </w:p>
    <w:p>
      <w:pPr>
        <w:spacing w:after="0" w:line="17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aggregate projected benefit obligation, accumulated benefit obligation and fair value of plan assets for defined benefit pension plans, ENPP and other postretirement plans with accumulated benefit obligations in excess of plan assets were $847.3 million, $798.5 million and $616.0 million, respectively, as of December 31, 2018, and $946.0 million, $891.2 million and $690.8 million, respectively, as of December 31, 2017. The projected benefit obligation, accumulated benefit obligation and fair value of plan assets for the Company’s U.S.-based defined benefit pension plans and ENPP with accumulated benefit obligations in excess of plan assets were $124.7 million, $107.8 million and $36.8 million, respectively, as of December 31, 2018, and $129.6 million, $111.5 million and $36.6 million, respectively, as of December 31, 2017. The Company’s accumulated comprehensive loss as of December 31, 2018 reflects a reduction in equity of $378.7 million, net of taxes of $97.0 million, primarily related to the Company’s U.K. pension plan, in which the projected benefit obligation exceeded the plan assets. In addition, the Company’s accumulated comprehensive loss as of December 31, 2018 reflects a reduction in equity of approximately $1.1 million, net of taxes of $0.4 million, related to the Company’s GIMA joint venture. The amount represents 50% of GIMA’s unrecognized net actuarial losses and unrecognized prior service cost associated with its pension plan. In addition, GIMA recognized a net actuarial loss due to settlements during 2018 of approximately $0.1 million. The Company’s accumulated comprehensive loss as of December 31, 2017 reflected a reduction in equity of $379.3 million, net of taxes of $95.0 million, primarily related to the Company’s U.K. pension plan, in which the projected benefit obligation exceeded the plan assets. In addition, the Company’s accumulated comprehensive loss as of December 31, 2017 reflected a reduction in equity of approximately $1.3 million, net of taxes of $0.5 million, related to the Company’s GIMA joint venture. This amount represented 50% of GIMA’s unrecognized net actuarial losses and unrecognized prior service cost associated with its pension plan. In addition, GIMA recognized a net actuarial loss due to settlements during 2017 of approximately $0.1 million.</w:t>
      </w:r>
    </w:p>
    <w:p>
      <w:pPr>
        <w:spacing w:after="0" w:line="19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Company’s defined benefit pension obligation has been reflected based on the manner in which its defined benefit plans are being administered. The obligation and resulting liability is calculated employing both actuarial and legal assumptions. These assumptions include, but are not limited to, future inflation, the return on pension assets, discount rates, life expectancy and potential salary increases. There are also assumptions related to the manner in which individual benefit plan benefits are calculated, which are legal in nature and include, but are not limited to, member eligibility, years of service and the uniformity of both guaranteed minimum pension benefits and member normal retirement ages for men and women. In the event that any of these assumptions or the administration approach are proven to be different from the Company’s current interpretations and approach, there could be material increases in the Company’s defined benefit pension obligation and the related amounts and timing of future contributions to be paid by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assumptions used to determine the benefit obligation for the Company’s defined benefit pension plans and ENPP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6"/>
        </w:trPr>
        <w:tc>
          <w:tcPr>
            <w:tcW w:w="7740" w:type="dxa"/>
            <w:vAlign w:val="bottom"/>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All plans:</w:t>
            </w: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36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r>
      <w:tr>
        <w:trPr>
          <w:trHeight w:val="243"/>
        </w:trPr>
        <w:tc>
          <w:tcPr>
            <w:tcW w:w="7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1.75%-5.0%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1.75%-5.0%</w:t>
            </w:r>
          </w:p>
        </w:tc>
      </w:tr>
      <w:tr>
        <w:trPr>
          <w:trHeight w:val="203"/>
        </w:trPr>
        <w:tc>
          <w:tcPr>
            <w:tcW w:w="774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U.S.-based plans:</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3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50"/>
        </w:trPr>
        <w:tc>
          <w:tcPr>
            <w:tcW w:w="7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7"/>
        </w:trPr>
        <w:tc>
          <w:tcPr>
            <w:tcW w:w="7740" w:type="dxa"/>
            <w:vAlign w:val="bottom"/>
            <w:gridSpan w:val="4"/>
          </w:tcPr>
          <w:p>
            <w:pPr>
              <w:ind w:left="40"/>
              <w:spacing w:after="0" w:line="247" w:lineRule="exact"/>
              <w:rPr>
                <w:sz w:val="20"/>
                <w:szCs w:val="20"/>
                <w:color w:val="auto"/>
              </w:rPr>
            </w:pPr>
            <w:r>
              <w:rPr>
                <w:rFonts w:ascii="Times New Roman" w:cs="Times New Roman" w:eastAsia="Times New Roman" w:hAnsi="Times New Roman"/>
                <w:sz w:val="18"/>
                <w:szCs w:val="18"/>
                <w:color w:val="auto"/>
              </w:rPr>
              <w:t>Rate of increase in future compensation</w:t>
            </w:r>
            <w:r>
              <w:rPr>
                <w:rFonts w:ascii="Times New Roman" w:cs="Times New Roman" w:eastAsia="Times New Roman" w:hAnsi="Times New Roman"/>
                <w:sz w:val="25"/>
                <w:szCs w:val="25"/>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78"/>
        </w:trPr>
        <w:tc>
          <w:tcPr>
            <w:tcW w:w="7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ind w:left="340" w:hanging="332"/>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for U.S. unfunded, nonqualified plan.</w:t>
      </w:r>
    </w:p>
    <w:p>
      <w:pPr>
        <w:spacing w:after="0" w:line="20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used to determine the benefit obligation for the Company’s postretirement benefit plans for the years ended December 31, 2018 and 2017 was 5.2% and 4.9%, respectively.</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2018, 2017 and 2016, the Company used a globally consistent methodology to set the discount rate in the countries where its largest benefit obligations exist. In the United States, the United Kingdom and the Euro Zone, the Company constructed a hypothetical bond portfolio of high-quality corporate bonds and then applied the cash flows of the Company’s benefit plans to those bond yields to derive a discount rate. The bond portfolio and plan-specific cash flows vary by country, but the methodology in which the portfolio is constructed is consistent. In the United States, the bond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portfolio is large enough to result in taking a “settlement approach” to derive the discount rate, in which high-quality corporate bonds are assumed to be purchased and the resulting coupon payments and maturities are used to satisfy the Company’s U.S. pension plans’ projected benefit payments. In the United Kingdom and the Euro Zone, the discount rate is derived using a “yield curve approach,” in which an individual spot rate, or zero coupon bond yield, for each future annual period is developed to discount each future benefit payment and, thereby, determine the present value of all future payments. The Company uses a spot yield curve to determine the discount rate applicable in the United Kingdom to measure the U.K. pension plan’s service cost and interest cost. Under the settlement and yield curve approaches, the discount rate is set to equal the single discount rate that produces the same present value of all future payments.</w:t>
      </w:r>
    </w:p>
    <w:p>
      <w:pPr>
        <w:spacing w:after="0" w:line="188"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For measuring the expected U.S. postretirement benefit obligation at December 31, 2018, the Company assumed a 6.5% health care cost trend rate for 2019 decreasing to 5.0% by 2025. For measuring the expected U.S. postretirement benefit obligation at December 31, 2017, the Company assumed a</w:t>
      </w: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6.75% health care cost trend rate for 2018 decreasing to 5.0% by 2025. For measuring the Brazilian postretirement benefit plan obligation at December 31, 2018, the Company assumed an 10.8% health care cost trend rate for 2019, decreasing to 5.0% by 2030. For measuring the Brazilian postretirement benefit plan obligation at December 31, 2017, the Company assumed an 11.0% health care cost trend rate for 2018, decreasing to 5.3% by 2029.</w:t>
      </w:r>
    </w:p>
    <w:p>
      <w:pPr>
        <w:spacing w:after="0" w:line="18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currently estimates its minimum contributions and benefit payments to its U.S.-based underfunded defined benefit pension plans and unfunded ENPP for 2019 will aggregate approximately $1.6 million. The Company currently estimates its minimum contributions for underfunded plans and benefit payments for unfunded plans for 2019 to its non-U.S.-based defined benefit pension plans will aggregate approximately $28.9 million, of which approximately $19.9 million relates to its U.K. pension plan. The Company currently estimates its benefit payments for 2019 to its U.S.-based postretirement health care and life insurance benefit plans will aggregate approximately $1.5 million and its benefit payments for 2019 to its Brazilian postretirement health care benefit plans will aggregate less than $0.1 million.</w:t>
      </w:r>
    </w:p>
    <w:p>
      <w:pPr>
        <w:spacing w:after="0" w:line="18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2018, approximately $47.4 million of benefit payments were made related to the Company’s defined benefit pension plans and ENPP. At December 31, 2018, the aggregate expected benefit payments for the Company’s defined benefit pension plans and ENPP are as follows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through 2028</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280.6</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2018, approximately $1.4 million of benefit payments were made related to the Company’s U.S. and Brazilian postretirement benefit plans. At December 31, 2018, the aggregate expected benefit payments for the Company’s U.S. and Brazilian postretirement benefit plans are as follows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through 2028</w:t>
            </w:r>
          </w:p>
        </w:tc>
        <w:tc>
          <w:tcPr>
            <w:tcW w:w="6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78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Strategy and Concentration of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asset allocation of the Company’s U.S. pension benefit plans as of December 31, 2018 and 2017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7"/>
                <w:szCs w:val="17"/>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1160" w:type="dxa"/>
            <w:vAlign w:val="bottom"/>
            <w:tcBorders>
              <w:top w:val="single" w:sz="8" w:color="auto"/>
              <w:bottom w:val="single" w:sz="8" w:color="CCEEFF"/>
            </w:tcBorders>
          </w:tcPr>
          <w:p>
            <w:pPr>
              <w:spacing w:after="0"/>
              <w:rPr>
                <w:sz w:val="4"/>
                <w:szCs w:val="4"/>
                <w:color w:val="auto"/>
              </w:rPr>
            </w:pPr>
          </w:p>
        </w:tc>
        <w:tc>
          <w:tcPr>
            <w:tcW w:w="658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Large and small cap domestic equity securities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fixed income securities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asset allocation of the Company’s non-U.S. pension benefit plans as of December 31, 2018 and 2017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7"/>
                <w:szCs w:val="17"/>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1160" w:type="dxa"/>
            <w:vAlign w:val="bottom"/>
            <w:tcBorders>
              <w:top w:val="single" w:sz="8" w:color="auto"/>
              <w:bottom w:val="single" w:sz="8" w:color="CCEEFF"/>
            </w:tcBorders>
          </w:tcPr>
          <w:p>
            <w:pPr>
              <w:spacing w:after="0"/>
              <w:rPr>
                <w:sz w:val="4"/>
                <w:szCs w:val="4"/>
                <w:color w:val="auto"/>
              </w:rPr>
            </w:pPr>
          </w:p>
        </w:tc>
        <w:tc>
          <w:tcPr>
            <w:tcW w:w="658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categorizes its pension plan assets into one of three levels based on the assumptions used in valuing the asset. See Note 13 for a discussion of the fair value hierarchy as per the guidance in ASC 820, “Fair Value Measurements” (“ASC 820”). The Company’s valuation techniques are designed to maximize the use of observable inputs and minimize the use of unobservable inputs. The Company uses the following valuation methodologies to measure the fair value of its pension plan assets: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Equity securities are valued on the basis of the closing price per unit on each business day as reported on the applicable exchange.</w:t>
      </w:r>
    </w:p>
    <w:p>
      <w:pPr>
        <w:spacing w:after="0" w:line="225" w:lineRule="exact"/>
        <w:rPr>
          <w:sz w:val="20"/>
          <w:szCs w:val="20"/>
          <w:color w:val="auto"/>
        </w:rPr>
      </w:pPr>
    </w:p>
    <w:p>
      <w:pPr>
        <w:ind w:left="660" w:right="240"/>
        <w:spacing w:after="0" w:line="284" w:lineRule="auto"/>
        <w:rPr>
          <w:sz w:val="20"/>
          <w:szCs w:val="20"/>
          <w:color w:val="auto"/>
        </w:rPr>
      </w:pPr>
      <w:r>
        <w:rPr>
          <w:rFonts w:ascii="Times New Roman" w:cs="Times New Roman" w:eastAsia="Times New Roman" w:hAnsi="Times New Roman"/>
          <w:sz w:val="18"/>
          <w:szCs w:val="18"/>
          <w:i w:val="1"/>
          <w:iCs w:val="1"/>
          <w:color w:val="auto"/>
        </w:rPr>
        <w:t>Fixed Income</w:t>
      </w:r>
      <w:r>
        <w:rPr>
          <w:rFonts w:ascii="Times New Roman" w:cs="Times New Roman" w:eastAsia="Times New Roman" w:hAnsi="Times New Roman"/>
          <w:sz w:val="18"/>
          <w:szCs w:val="18"/>
          <w:color w:val="auto"/>
        </w:rPr>
        <w:t>: Fixed income securities are valued using the closing prices in the active market in which the fixed income investment trades.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funds are valued using the net asset value of the fund, which is based on the fair value of the underlying securities.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These investments primarily consist of short-term investment funds which are valued using the net asset value.</w:t>
      </w:r>
    </w:p>
    <w:p>
      <w:pPr>
        <w:spacing w:after="0" w:line="225"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i w:val="1"/>
          <w:iCs w:val="1"/>
          <w:color w:val="auto"/>
        </w:rPr>
        <w:t>Alternative Investments</w:t>
      </w:r>
      <w:r>
        <w:rPr>
          <w:rFonts w:ascii="Times New Roman" w:cs="Times New Roman" w:eastAsia="Times New Roman" w:hAnsi="Times New Roman"/>
          <w:sz w:val="18"/>
          <w:szCs w:val="18"/>
          <w:color w:val="auto"/>
        </w:rPr>
        <w:t>: These investments are reported at fair value as determined by the general partner of the alternative investment. The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valuation technique is used to value investments in these funds. The funds typically are open-end funds as they generally offer subscription and redemption options to investors. The frequency of such subscriptions or redemptions is dictated by each fund’s governing documents. The amount of liquidity provided to investors in a particular fund generally is consistent with the liquidity and risk associated with the underlying portfolio (i.e., the more liquid the investments in the portfolio, the greater the liquidity provided to investors). Liquidity of individual funds varies based on various factors and may include “gates,” “holdbacks” and “side pockets” imposed by the manager of the fund, as well as redemption fees that may also apply. Investments in these funds typically are valued utilizing the net asset valuations provided by their underlying investment managers, general partners or administrators. The funds consider subscription and redemption rights, including any restrictions on the disposition of the interest, in its determination of the fair value.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Insurance Contracts</w:t>
      </w:r>
      <w:r>
        <w:rPr>
          <w:rFonts w:ascii="Times New Roman" w:cs="Times New Roman" w:eastAsia="Times New Roman" w:hAnsi="Times New Roman"/>
          <w:sz w:val="18"/>
          <w:szCs w:val="18"/>
          <w:color w:val="auto"/>
        </w:rPr>
        <w:t>: Insurance contracts are valued using current prevailing interest rates.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Company’s pension assets as of December 31, 2018 is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equities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104.4</w:t>
            </w:r>
          </w:p>
        </w:tc>
        <w:tc>
          <w:tcPr>
            <w:tcW w:w="10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 equities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U.K. equities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112.4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large cap equities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small cap equities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securities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 securities</w:t>
            </w:r>
          </w:p>
        </w:tc>
        <w:tc>
          <w:tcPr>
            <w:tcW w:w="106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226.9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10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Aggregate fixed income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fixed income</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189.3</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360"/>
              <w:spacing w:after="0" w:line="264" w:lineRule="exact"/>
              <w:rPr>
                <w:sz w:val="20"/>
                <w:szCs w:val="20"/>
                <w:color w:val="auto"/>
              </w:rPr>
            </w:pPr>
            <w:r>
              <w:rPr>
                <w:rFonts w:ascii="Times New Roman" w:cs="Times New Roman" w:eastAsia="Times New Roman" w:hAnsi="Times New Roman"/>
                <w:sz w:val="18"/>
                <w:szCs w:val="18"/>
                <w:color w:val="auto"/>
              </w:rPr>
              <w:t>Total fixed income share</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320.8</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Alternative investments:</w:t>
            </w:r>
          </w:p>
        </w:tc>
        <w:tc>
          <w:tcPr>
            <w:tcW w:w="10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equity fund</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Hedge funds measured at net asset value</w:t>
            </w:r>
            <w:r>
              <w:rPr>
                <w:rFonts w:ascii="Times New Roman" w:cs="Times New Roman" w:eastAsia="Times New Roman" w:hAnsi="Times New Roman"/>
                <w:sz w:val="25"/>
                <w:szCs w:val="25"/>
                <w:color w:val="auto"/>
                <w:vertAlign w:val="superscript"/>
              </w:rPr>
              <w:t>(4)</w:t>
            </w:r>
          </w:p>
        </w:tc>
        <w:tc>
          <w:tcPr>
            <w:tcW w:w="10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alternative investments</w:t>
            </w:r>
            <w:r>
              <w:rPr>
                <w:rFonts w:ascii="Times New Roman" w:cs="Times New Roman" w:eastAsia="Times New Roman" w:hAnsi="Times New Roman"/>
                <w:sz w:val="25"/>
                <w:szCs w:val="25"/>
                <w:color w:val="auto"/>
                <w:vertAlign w:val="superscript"/>
              </w:rPr>
              <w:t>(2)</w:t>
            </w:r>
          </w:p>
        </w:tc>
        <w:tc>
          <w:tcPr>
            <w:tcW w:w="10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Miscellaneous funds</w:t>
            </w:r>
            <w:r>
              <w:rPr>
                <w:rFonts w:ascii="Times New Roman" w:cs="Times New Roman" w:eastAsia="Times New Roman" w:hAnsi="Times New Roman"/>
                <w:sz w:val="25"/>
                <w:szCs w:val="25"/>
                <w:color w:val="auto"/>
                <w:vertAlign w:val="superscript"/>
              </w:rPr>
              <w:t>(3)</w:t>
            </w:r>
          </w:p>
        </w:tc>
        <w:tc>
          <w:tcPr>
            <w:tcW w:w="10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Cash and equivalents measured at net asset value</w:t>
            </w:r>
            <w:r>
              <w:rPr>
                <w:rFonts w:ascii="Times New Roman" w:cs="Times New Roman" w:eastAsia="Times New Roman" w:hAnsi="Times New Roman"/>
                <w:sz w:val="25"/>
                <w:szCs w:val="25"/>
                <w:color w:val="auto"/>
                <w:vertAlign w:val="superscript"/>
              </w:rPr>
              <w:t>(4)</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Pr>
          <w:p>
            <w:pPr>
              <w:spacing w:after="0"/>
              <w:rPr>
                <w:sz w:val="22"/>
                <w:szCs w:val="22"/>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547.7</w:t>
            </w:r>
          </w:p>
        </w:tc>
        <w:tc>
          <w:tcPr>
            <w:tcW w:w="100" w:type="dxa"/>
            <w:vAlign w:val="bottom"/>
          </w:tcPr>
          <w:p>
            <w:pPr>
              <w:spacing w:after="0"/>
              <w:rPr>
                <w:sz w:val="22"/>
                <w:szCs w:val="22"/>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300" w:hanging="332"/>
        <w:spacing w:after="0" w:line="241"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 of “fixed income” securities are in investment-grade corporate bonds; 27% are in government treasuries; 17% are in foreign securities; 13% are in high-yield securities; and 7% are in other various fixed income securities.</w:t>
      </w:r>
    </w:p>
    <w:p>
      <w:pPr>
        <w:ind w:left="340" w:right="200" w:hanging="332"/>
        <w:spacing w:after="0" w:line="241"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 of “alternative investments” are in relative value funds; 22% are in long-short equity funds; 22% are in event-driven funds; 7% are distributed in hedged and non-hedged funds; and 5% are in credit funds.</w:t>
      </w: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funds” is comprised of insurance contracts in Finland, Norway and Switzerland.</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investments that are measured at fair value using the net asset value per share (or its equivalent) practical expedient have not been categorized in the fair value hierarchy.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Level 3 assets as of December 31, 2018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Alternative</w:t>
            </w:r>
          </w:p>
        </w:tc>
        <w:tc>
          <w:tcPr>
            <w:tcW w:w="2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Funds</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as of December 31, 2017</w:t>
            </w:r>
          </w:p>
        </w:tc>
        <w:tc>
          <w:tcPr>
            <w:tcW w:w="264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Relating to assets still held at reporting date</w:t>
            </w:r>
          </w:p>
        </w:tc>
        <w:tc>
          <w:tcPr>
            <w:tcW w:w="1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 Relating to assets sold during period</w:t>
            </w:r>
          </w:p>
        </w:tc>
        <w:tc>
          <w:tcPr>
            <w:tcW w:w="1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sales and /or settlements</w:t>
            </w:r>
          </w:p>
        </w:tc>
        <w:tc>
          <w:tcPr>
            <w:tcW w:w="1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 as of December 31, 2018</w:t>
            </w:r>
          </w:p>
        </w:tc>
        <w:tc>
          <w:tcPr>
            <w:tcW w:w="264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Company’s pension assets as of December 31, 2017 is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equities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 equities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U.K. equities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large cap equities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small cap equities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 securities</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10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Aggregate fixed income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fixed income</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360"/>
              <w:spacing w:after="0" w:line="264" w:lineRule="exact"/>
              <w:rPr>
                <w:sz w:val="20"/>
                <w:szCs w:val="20"/>
                <w:color w:val="auto"/>
              </w:rPr>
            </w:pPr>
            <w:r>
              <w:rPr>
                <w:rFonts w:ascii="Times New Roman" w:cs="Times New Roman" w:eastAsia="Times New Roman" w:hAnsi="Times New Roman"/>
                <w:sz w:val="18"/>
                <w:szCs w:val="18"/>
                <w:color w:val="auto"/>
              </w:rPr>
              <w:t>Total fixed income share</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Alternative investments:</w:t>
            </w:r>
          </w:p>
        </w:tc>
        <w:tc>
          <w:tcPr>
            <w:tcW w:w="10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equity fund</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Hedge funds measured at net asset value</w:t>
            </w:r>
            <w:r>
              <w:rPr>
                <w:rFonts w:ascii="Times New Roman" w:cs="Times New Roman" w:eastAsia="Times New Roman" w:hAnsi="Times New Roman"/>
                <w:sz w:val="25"/>
                <w:szCs w:val="25"/>
                <w:color w:val="auto"/>
                <w:vertAlign w:val="superscript"/>
              </w:rPr>
              <w:t>(4)</w:t>
            </w:r>
          </w:p>
        </w:tc>
        <w:tc>
          <w:tcPr>
            <w:tcW w:w="10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alternative investments</w:t>
            </w:r>
            <w:r>
              <w:rPr>
                <w:rFonts w:ascii="Times New Roman" w:cs="Times New Roman" w:eastAsia="Times New Roman" w:hAnsi="Times New Roman"/>
                <w:sz w:val="25"/>
                <w:szCs w:val="25"/>
                <w:color w:val="auto"/>
                <w:vertAlign w:val="superscript"/>
              </w:rPr>
              <w:t>(2)</w:t>
            </w:r>
          </w:p>
        </w:tc>
        <w:tc>
          <w:tcPr>
            <w:tcW w:w="10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Miscellaneous funds</w:t>
            </w:r>
            <w:r>
              <w:rPr>
                <w:rFonts w:ascii="Times New Roman" w:cs="Times New Roman" w:eastAsia="Times New Roman" w:hAnsi="Times New Roman"/>
                <w:sz w:val="25"/>
                <w:szCs w:val="25"/>
                <w:color w:val="auto"/>
                <w:vertAlign w:val="superscript"/>
              </w:rPr>
              <w:t>(3)</w:t>
            </w:r>
          </w:p>
        </w:tc>
        <w:tc>
          <w:tcPr>
            <w:tcW w:w="10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Cash and equivalents measured at net asset value</w:t>
            </w:r>
            <w:r>
              <w:rPr>
                <w:rFonts w:ascii="Times New Roman" w:cs="Times New Roman" w:eastAsia="Times New Roman" w:hAnsi="Times New Roman"/>
                <w:sz w:val="25"/>
                <w:szCs w:val="25"/>
                <w:color w:val="auto"/>
                <w:vertAlign w:val="superscript"/>
              </w:rPr>
              <w:t>(4)</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220" w:hanging="332"/>
        <w:spacing w:after="0" w:line="241" w:lineRule="auto"/>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 of “fixed income” securities are in investment-grade corporate bonds; 29% are in government treasuries; 15% are in foreign securities; 13% are in high-yield securities; and 13% are in other various fixed income securities.</w:t>
      </w:r>
    </w:p>
    <w:p>
      <w:pPr>
        <w:ind w:left="340" w:right="200" w:hanging="332"/>
        <w:spacing w:after="0" w:line="241" w:lineRule="auto"/>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of “alternative investments” are in relative value funds; 26% are in long-short equity funds; 21% are in event-driven funds; 8% are distributed in hedged and non-hedged funds; and 6% are in credit funds.</w:t>
      </w: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funds” is comprised of insurance contracts in Finland, Norway and Switzerland.</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investments that are measured at fair value using the net asset value per share (or its equivalent) practical expedient have not been categorized in the fair value hierarchy.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Level 3 assets as of December 31, 2017 (in millions):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Alternative</w:t>
            </w:r>
          </w:p>
        </w:tc>
        <w:tc>
          <w:tcPr>
            <w:tcW w:w="2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Miscellaneous</w:t>
            </w:r>
          </w:p>
        </w:tc>
      </w:tr>
      <w:tr>
        <w:trPr>
          <w:trHeight w:val="238"/>
        </w:trPr>
        <w:tc>
          <w:tcPr>
            <w:tcW w:w="60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2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Funds</w:t>
            </w:r>
          </w:p>
        </w:tc>
      </w:tr>
      <w:tr>
        <w:trPr>
          <w:trHeight w:val="27"/>
        </w:trPr>
        <w:tc>
          <w:tcPr>
            <w:tcW w:w="6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2016</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 Relating to assets still held at reporting date</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 Relating to assets sold during period</w:t>
            </w:r>
          </w:p>
        </w:tc>
        <w:tc>
          <w:tcPr>
            <w:tcW w:w="11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/or settlements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2017</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6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All tax-qualified pension fund investments in the United States are held in the AGCO Corporation Master Pension Trust. The Company’s global pension fund strategy is to diversify investments across broad categories of equity and fixed income securities with appropriate use of alternative investment categories to minimize risk and volatility. The primary investment objective of the Company’s pension plans is to secure participant retirement benefits. As such, the key objective in the pension plans’ financial management is to promote stability and, to the extent appropriate, growth in funded status.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investment strategy for the plans’ portfolio of assets balances the requirement to generate returns with the need to control risk. The asset mix is recognized as the primary mechanism to influence the reward and risk structure of the pension fund investments in an effort to accomplish the plans’ funding objectives. The overall investment strategy for the U.S.-based pension plans is to achieve a mix of approximately 15% of assets for the near-term benefit payments and 85% for longer-term</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growth. The overall U.S. pension funds invest in a broad diversification of asset types. The Company’s U.S. target allocation of retirement fund investments is 21.5% large- and small-cap domestic equity securities, 8.5% international equity securities, 55% broad fixed income securities, 10% in alternative investments and 5% in cash and cash equivalents. The Company has noted that over very long periods, this mix of investments would achieve an average return of approximately 5.75%. In arriving at the choice of an expected return assumption of 5.5% for its U.S. plans for the year ended December 31, 2019, the Company has tempered this historical indicator with lower expectations for returns and changes to investments in the future as well as the administrative costs of the plans. The overall investment strategy for the non-U.S. based pension plans is to achieve a mix of approximately 30% of assets for the near-term benefit payments and 70% for longer-term growth. The overall non-U.S. pension funds invest in a broad diversification of asset types. The Company’s non-U.S. target allocation of retirement fund investments is 40% equity securities, 55% broad fixed income investments and 5% in alternative investments. The majority of the Company’s non-U.S. pension fund investments are related to the Company’s pension plan in the United Kingdom. The Company has noted that over very long periods, this mix of investments would achieve an average return of approximately 5.2%. In arriving at the choice of an expected return assumption of 4.75% for its U.K.-based plans for the year ended December 31, 2019, the Company has tempered this historical indicator with lower expectations for returns and changes to investments in the future as well as the administrative costs of the plans.</w:t>
      </w:r>
    </w:p>
    <w:p>
      <w:pPr>
        <w:spacing w:after="0" w:line="19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Equity securities primarily include investments in large-cap and small-cap companies located across the globe. Fixed income securities include corporate bonds of companies from diversified industries, mortgage-backed securities, agency mortgages, asset-backed securities and government securities. Alternative and other assets include investments in hedge fund of funds that follow diversified investment strategies. To date, the Company has not invested pension funds in its own stock and has no intention of doing so in the future.</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Within each asset class, careful consideration is given to balancing the portfolio among industry sectors, geographies, interest rate sensitivity, dependence on economic growth, currency and other factors affecting investment returns. The assets are managed by professional investment firms, who are bound by precise mandates and are measured against specific benchmarks. Among asset managers, consideration is given, among others, to balancing security concentration, issuer concentration, investment style and reliance on particular active investment strategies.</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participates in a small number of multiemployer plans in the Netherlands and Sweden. The Company has assessed and determined that none of the multiemployer plans which it participates in are individually, or in the aggregate, significant to the Company’s Consolidated Financial Statements. The Company does not expect to incur a withdrawal liability or expect to significantly increase its contributions over the remainder of the multiemployer plans’ contract periods.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separate defined contribution plans covering certain employees, primarily in the United States, the United Kingdom and Brazil. Under the plans, the Company contributes a specified percentage of each eligible employee’s compensation. The Company contributed approximately $15.8 million, $15.1 million and $14.3 million for the years ended December 31, 2018, 2017 and 2016, respectively.</w:t>
      </w:r>
    </w:p>
    <w:p>
      <w:pPr>
        <w:spacing w:after="0" w:line="172" w:lineRule="exact"/>
        <w:rPr>
          <w:sz w:val="20"/>
          <w:szCs w:val="20"/>
          <w:color w:val="auto"/>
        </w:rPr>
      </w:pPr>
    </w:p>
    <w:p>
      <w:pPr>
        <w:ind w:left="340" w:right="9480" w:hanging="332"/>
        <w:spacing w:after="0" w:line="533" w:lineRule="auto"/>
        <w:tabs>
          <w:tab w:leader="none" w:pos="331"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w:t>
      </w: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At December 31, 2018, the Company had 150,000,000 authorized shares of common stock with a par value of $0.01 per share, with approximately 76,536,755 shares of common stock outstanding and approximately 3,436,426 shares reserved for issuance under the Company’s 2006 Long-Term Incentive Plan (the “Plan”) (Note 10).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During 2012 through 2016, the Company’s Board of Directors approved several share repurchase authorizations under which the Company is permitted to repurchase up to $1,350.0 million of shares of its common stock.</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2018 and 2016, the Company repurchased 3,120,184 and 4,413,250 shares of its common stock, respectively, for approximately $184.3 million and $212.5 million, respectively, either through Accelerated Share Repurchase (“ASR”) agreements with financial institutions or through open market transactions. During 2017, the Company received approximately 70,464 shares associated with the remaining balance of shares to be delivered under an ASR agreement that was completed in November 2016. All shares received under the ASR agreements were retired upon receipt, and the excess of the purchase price over par value per share was recorded to “Additional paid-in capital” within the Company’s Consolidated Balance Sheets.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During 2019, the Company entered into an ASR agreement with a financial institution to repurchase an aggregate of $30.0 million shares of its common stock. The Company received approximately 379,927 shares to date in this transaction. The specific number of shares the Company will ultimately repurchase will be determined at the completion of the term of the ASR based on the daily volume-weighted average share price of the Company’s common stock less an agreed-upon discount. Upon settlement of the ASR, the Company may be entitled to receive additional shares of common stock or, under certain circumstances, be required to remit a settlement amount. The Company expects that additional shares will be received by the Company upon final settlement of its current ASR agreement, which expires during the second quarter of 2019. All shares received under the ASR agreement discussed above were retired upon receipt and the excess of the purchase price over par value per share was recorded to “Additional paid-in capital” within the Company’s Consolidated Balance Sheets.</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2018, the remaining amount authorized to be repurchased is approximately $147.1 million, of which $115.7 million expires in December 2019 and $31.4 million has no expiration date.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The Company’s Board of Directors has declared and the Company has paid quarterly cash dividends of $0.13 per common share beginning the first quarter of 2016, $0.14 per common share beginning the first quarter of 2017 and $0.15 per common share beginning the first quarter of 2018, respectively, and on January 25, 2019, the Company’s Board of Directors approved a quarterly dividend of $0.15 per common share beginning the first quarter of 2019.</w:t>
      </w:r>
    </w:p>
    <w:p>
      <w:pPr>
        <w:spacing w:after="0" w:line="15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changes in accumulated other comprehensive loss by component, net of tax, attributed to AGCO Corporation and its subsidiaries for the years ended December 31, 2018 and 2017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Deferred Net Gains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(Losses) 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6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8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Accumulated other comprehensive loss, December 31,</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0" w:type="dxa"/>
            <w:vAlign w:val="bottom"/>
          </w:tcPr>
          <w:p>
            <w:pPr>
              <w:spacing w:after="0"/>
              <w:rPr>
                <w:sz w:val="1"/>
                <w:szCs w:val="1"/>
                <w:color w:val="auto"/>
              </w:rPr>
            </w:pPr>
          </w:p>
        </w:tc>
      </w:tr>
      <w:tr>
        <w:trPr>
          <w:trHeight w:val="225"/>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losses reclassified from accumulated other</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5"/>
        </w:trPr>
        <w:tc>
          <w:tcPr>
            <w:tcW w:w="42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Other comprehensive income, net of reclassification</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Accumulated other comprehensive loss, December 31,</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losses reclassified from accumulated other</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5"/>
        </w:trPr>
        <w:tc>
          <w:tcPr>
            <w:tcW w:w="42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Accumulated other comprehensive loss, December 31,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reclassification adjustments out of accumulated other comprehensive loss by component attributed to AGCO Corporation and its subsidiaries for the years ended December 31, 2018 and 2017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 Reclassified from Accumulated Other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Affected Line Item within</w:t>
            </w:r>
          </w:p>
        </w:tc>
        <w:tc>
          <w:tcPr>
            <w:tcW w:w="0" w:type="dxa"/>
            <w:vAlign w:val="bottom"/>
          </w:tcPr>
          <w:p>
            <w:pPr>
              <w:spacing w:after="0"/>
              <w:rPr>
                <w:sz w:val="1"/>
                <w:szCs w:val="1"/>
                <w:color w:val="auto"/>
              </w:rPr>
            </w:pPr>
          </w:p>
        </w:tc>
      </w:tr>
      <w:tr>
        <w:trPr>
          <w:trHeight w:val="214"/>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Details about Accumulated Other Comprehensive</w:t>
            </w:r>
          </w:p>
        </w:tc>
        <w:tc>
          <w:tcPr>
            <w:tcW w:w="14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Consolidated</w:t>
            </w:r>
          </w:p>
        </w:tc>
        <w:tc>
          <w:tcPr>
            <w:tcW w:w="0" w:type="dxa"/>
            <w:vAlign w:val="bottom"/>
          </w:tcPr>
          <w:p>
            <w:pPr>
              <w:spacing w:after="0"/>
              <w:rPr>
                <w:sz w:val="1"/>
                <w:szCs w:val="1"/>
                <w:color w:val="auto"/>
              </w:rPr>
            </w:pPr>
          </w:p>
        </w:tc>
      </w:tr>
      <w:tr>
        <w:trPr>
          <w:trHeight w:val="265"/>
        </w:trPr>
        <w:tc>
          <w:tcPr>
            <w:tcW w:w="42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Loss Components</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ind w:right="790"/>
              <w:spacing w:after="0" w:line="265" w:lineRule="exact"/>
              <w:rPr>
                <w:sz w:val="20"/>
                <w:szCs w:val="20"/>
                <w:color w:val="auto"/>
              </w:rPr>
            </w:pPr>
            <w:r>
              <w:rPr>
                <w:rFonts w:ascii="Times New Roman" w:cs="Times New Roman" w:eastAsia="Times New Roman" w:hAnsi="Times New Roman"/>
                <w:sz w:val="18"/>
                <w:szCs w:val="18"/>
                <w:b w:val="1"/>
                <w:bCs w:val="1"/>
                <w:color w:val="auto"/>
              </w:rPr>
              <w:t>2018</w:t>
            </w:r>
            <w:r>
              <w:rPr>
                <w:rFonts w:ascii="Times New Roman" w:cs="Times New Roman" w:eastAsia="Times New Roman" w:hAnsi="Times New Roman"/>
                <w:sz w:val="25"/>
                <w:szCs w:val="25"/>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right"/>
              <w:ind w:right="330"/>
              <w:spacing w:after="0" w:line="265" w:lineRule="exact"/>
              <w:rPr>
                <w:sz w:val="20"/>
                <w:szCs w:val="20"/>
                <w:color w:val="auto"/>
              </w:rPr>
            </w:pPr>
            <w:r>
              <w:rPr>
                <w:rFonts w:ascii="Times New Roman" w:cs="Times New Roman" w:eastAsia="Times New Roman" w:hAnsi="Times New Roman"/>
                <w:sz w:val="18"/>
                <w:szCs w:val="18"/>
                <w:b w:val="1"/>
                <w:bCs w:val="1"/>
                <w:color w:val="auto"/>
              </w:rPr>
              <w:t>2017</w:t>
            </w:r>
            <w:r>
              <w:rPr>
                <w:rFonts w:ascii="Times New Roman" w:cs="Times New Roman" w:eastAsia="Times New Roman" w:hAnsi="Times New Roman"/>
                <w:sz w:val="25"/>
                <w:szCs w:val="25"/>
                <w:b w:val="1"/>
                <w:bCs w:val="1"/>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losses (gains) on foreign currency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2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losses on interest rate swap contract</w:t>
            </w: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1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1820" w:type="dxa"/>
            <w:vAlign w:val="bottom"/>
            <w:tcBorders>
              <w:top w:val="single" w:sz="8" w:color="auto"/>
              <w:bottom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23"/>
                <w:szCs w:val="23"/>
                <w:color w:val="auto"/>
              </w:rPr>
            </w:pPr>
          </w:p>
        </w:tc>
        <w:tc>
          <w:tcPr>
            <w:tcW w:w="22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4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3"/>
                <w:szCs w:val="23"/>
                <w:color w:val="auto"/>
              </w:rPr>
            </w:pPr>
          </w:p>
        </w:tc>
        <w:tc>
          <w:tcPr>
            <w:tcW w:w="228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losses reclassified from accumulated other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820" w:type="dxa"/>
            <w:vAlign w:val="bottom"/>
            <w:vMerge w:val="restart"/>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2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-95885</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(gains) included within the Consolidated Statements of Operations for the years ended December 31, 2018 and 2017, respectively.</w:t>
      </w:r>
    </w:p>
    <w:p>
      <w:pPr>
        <w:spacing w:after="0" w:line="11" w:lineRule="exact"/>
        <w:rPr>
          <w:rFonts w:ascii="Times New Roman" w:cs="Times New Roman" w:eastAsia="Times New Roman" w:hAnsi="Times New Roman"/>
          <w:sz w:val="14"/>
          <w:szCs w:val="14"/>
          <w:color w:val="auto"/>
        </w:rPr>
      </w:pPr>
    </w:p>
    <w:p>
      <w:pPr>
        <w:ind w:left="340" w:right="60" w:hanging="332"/>
        <w:spacing w:after="0" w:line="276"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accumulated other comprehensive loss components are included in the computation of net periodic pension and postretirement benefit cost. See Note 8 to the Company</w:t>
      </w:r>
      <w:r>
        <w:rPr>
          <w:rFonts w:ascii="Times New Roman" w:cs="Times New Roman" w:eastAsia="Times New Roman" w:hAnsi="Times New Roman"/>
          <w:sz w:val="16"/>
          <w:szCs w:val="16"/>
          <w:color w:val="auto"/>
        </w:rPr>
        <w:t>’s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Financial Statements.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 Incentive Plan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Plan, up to 10,000,000 shares of AGCO common stock may be issued. As of December 31, 2018, of the 10,000,000 shares reserved for issuance under the Plan, approximately 3,436,426 shares were available for grant, assuming the maximum number of shares are earned related to the performance award grants discussed below. The Plan allows the Company, under the direction of the Board of Directors’ Compensation Committee, to make grants of performance shares, stock appreciation rights, stock options, restricted stock units and restricted stock awards to employees, officers and non-employee directors of the Company.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 and Related Performance Awards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Company’s primary long-term incentive plan is a performance share plan that provides for awards of shares of the Company’s common stock based on achieving financial targets, such as targets for earnings per share, return on invested capital, operating margins and selling, general and administrative expenses and overhead levels, as determined by the Company’s Board of Directors. The stock awards under the Plan are earned over a performance period, and the number of shares earned is determined based on annual cumulative or average results for the specified period, depending on the measurement. Performance periods for the Company’s primary long-term incentive plan are consecutive and overlapping three-year cycles, and performance targets are set at the beginning of each cycle. The primary long-term incentive plan provides for participants to earn 33% to 200% of the target awards depending on the actual performance achieved, with no shares earned if performance is below the established minimum target. Awards earned under the Plan are paid in shares of common stock at the end of each three-year performance period. The percentage level achievement is determined annually, with the ultimate award that is earned determined based upon the average of the three annual percentages. The compensation expense associated with these awards is amortized ratably over the vesting or performance period based on the Company’s projected assessment of the level of performance that will be achieved and earned.</w:t>
      </w:r>
    </w:p>
    <w:p>
      <w:pPr>
        <w:spacing w:after="0" w:line="19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Compensation expense recorded during 2018, 2017 and 2016 with respect to awards granted was based upon the stock price as of the grant date. The weighted average grant-date fair value of performance awards granted under the Plan during 2018, 2017 and 2016 was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grant-date fair value</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47.93</w:t>
            </w:r>
          </w:p>
        </w:tc>
      </w:tr>
      <w:tr>
        <w:trPr>
          <w:trHeight w:val="27"/>
        </w:trPr>
        <w:tc>
          <w:tcPr>
            <w:tcW w:w="60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During 2018, the Company granted 441,740 performance awards related to varying performance periods assuming the maximum target level of performance is achieved.</w:t>
      </w:r>
    </w:p>
    <w:p>
      <w:pPr>
        <w:spacing w:after="0" w:line="162"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Performance award transactions during 2018 were as follows and are presented as if the Company were to achieve its maximum levels of performance under the plan:</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 but not earned at January 1</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1,645,078</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awarded</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441,740</w:t>
            </w:r>
          </w:p>
        </w:tc>
      </w:tr>
      <w:tr>
        <w:trPr>
          <w:trHeight w:val="27"/>
        </w:trPr>
        <w:tc>
          <w:tcPr>
            <w:tcW w:w="9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forfeited or unearned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(81,932)</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earned and vested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(1,066,024)</w:t>
            </w:r>
          </w:p>
        </w:tc>
      </w:tr>
      <w:tr>
        <w:trPr>
          <w:trHeight w:val="27"/>
        </w:trPr>
        <w:tc>
          <w:tcPr>
            <w:tcW w:w="96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 but not earned at December 31</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938,862</w:t>
            </w:r>
          </w:p>
        </w:tc>
      </w:tr>
      <w:tr>
        <w:trPr>
          <w:trHeight w:val="20"/>
        </w:trPr>
        <w:tc>
          <w:tcPr>
            <w:tcW w:w="9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Based on the level of performance achieved as of December 31, 2018, 839,090 shares were earned under the related performance period and 521,888 shares were issued in February 2019, net of 317,202 shares that were withheld for taxes related to the earned awards. The Plan allows for the participant to have the option of forfeiting a portion of the shares awarded in lieu of a cash payment contributed to the participant’s tax withholding to satisfy the participant’s statutory minimum federal, state and employment taxes which would be payable at the time of grant.</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2017, the Company recorded approximately $4.8 million of accelerated stock compensation expense associated with a stock award declined by the Company’s Chief Executive Officer.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121" w:right="2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2018, the total compensation cost related to unearned performance awards not yet recognized, assuming the Company’s current projected assessment of the level of performance that will be achieved and earned, was approximately $31.6 million, and the weighted average period over which it is expected to be recognized is approximately two years. This estimate is based on the current projected levels of performance of outstanding awards. The compensation cost not yet recognized could be higher or lower based on actual achieved levels of performance.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2018, the Company granted 247,404 restricted stock unit (“RSU”) awards. These awards entitle the participant to receive one share of the Company’s common stock for each RSU granted and vest one-third per year over a three-year requisite service period. The compensation expense associated with these awards is being amortized ratably over the requisite service period for the awards that are expected to vest. The weighted average grant-date fair value of the RSUs granted under the Plan during the year ended December 31, 2018 and 2017 was $63.99 and $61.99, respectively. RSU transactions during the year ended December 31, 2018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awarded but not vested at January 1</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237,468</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awarded</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247,404</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forfeited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vested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(120,202)</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awarded but not vested at December 31</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352,975</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2018, the total compensation cost related to the unvested RSUs not yet recognized was approximately $14.2 million, and the weighted average period over which it is expected to be recognized is approximately two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Stock-settled Appreciation Rights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performance share plans, certain executives and key managers are eligible to receive grants of SSARs. The SSARs provide a participant with the right to receive the aggregate appreciation in stock price over the market price of the Company’s common stock at the date of grant, payable in shares of the Company’s common stock. The participant may exercise his or her SSARs at any time after the grant is vested but no later than seven years after the date of grant. The SSARs vest ratably over a four-year period from the date of grant. SSAR awards made to certain executives and key managers under the Plan are made with the base price equal to the price of the Company’s common stock on the date of grant. The Company recorded stock compensation expense of approximately $2.4 million, $3.0 million and $3.8 million associated with SSAR awards during 2018, 2017 and 2016, respectively. The compensation expense associated with these awards is being amortized ratably over the vesting period. The Company estimated the fair value of the grants using the Black-Scholes option pricing model.</w:t>
      </w:r>
    </w:p>
    <w:p>
      <w:pPr>
        <w:spacing w:after="0" w:line="18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SSAR awards granted under the Plan and the weighted average assumptions under the Black-Scholes option model were as follows for the years ended December 31, 2018, 2017 and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20" w:type="dxa"/>
            <w:vAlign w:val="bottom"/>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3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grant-date fair value</w:t>
            </w:r>
          </w:p>
        </w:tc>
        <w:tc>
          <w:tcPr>
            <w:tcW w:w="178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12.88</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7.98</w:t>
            </w: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assumptions under Black-Scholes option model:</w:t>
            </w: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of awards (years)</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702"/>
        </w:trPr>
        <w:tc>
          <w:tcPr>
            <w:tcW w:w="5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SSAR transactions during the year ended December 31, 2018 were as follows:</w:t>
            </w:r>
          </w:p>
        </w:tc>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SSARs outstanding at January 1</w:t>
            </w:r>
          </w:p>
        </w:tc>
        <w:tc>
          <w:tcPr>
            <w:tcW w:w="1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1,060,192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SSARs granted</w:t>
            </w:r>
          </w:p>
        </w:tc>
        <w:tc>
          <w:tcPr>
            <w:tcW w:w="126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157,700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SSARs exercised</w:t>
            </w:r>
          </w:p>
        </w:tc>
        <w:tc>
          <w:tcPr>
            <w:tcW w:w="1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SSARs canceled or forfeited</w:t>
            </w:r>
          </w:p>
        </w:tc>
        <w:tc>
          <w:tcPr>
            <w:tcW w:w="126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SSARs outstanding at December 31</w:t>
            </w:r>
          </w:p>
        </w:tc>
        <w:tc>
          <w:tcPr>
            <w:tcW w:w="126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1,099,592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SSAR price ranges per share:</w:t>
            </w:r>
          </w:p>
        </w:tc>
        <w:tc>
          <w:tcPr>
            <w:tcW w:w="12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43.39 - 63.47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forfeited</w:t>
            </w:r>
          </w:p>
        </w:tc>
        <w:tc>
          <w:tcPr>
            <w:tcW w:w="1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43.88 - 63.47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SSAR exercise prices per share:</w:t>
            </w:r>
          </w:p>
        </w:tc>
        <w:tc>
          <w:tcPr>
            <w:tcW w:w="1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forfeited</w:t>
            </w:r>
          </w:p>
        </w:tc>
        <w:tc>
          <w:tcPr>
            <w:tcW w:w="1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126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2018, the weighted average remaining contractual life of SSARs outstanding was approximately four years. As of December 31, 2018, the total compensation cost related to unvested SSARs not yet recognized was approximately $3.8 million and the weighted-average period over which it is expected to be recognized is approximately two years.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exercise price range, number of shares, weighted average exercise price, and remaining contractual lives by groups of similar price as of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SSARs Outstanding</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SSARs Exercisable</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Exercisable as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$43.88-$52.85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528,600</w:t>
            </w:r>
          </w:p>
        </w:tc>
        <w:tc>
          <w:tcPr>
            <w:tcW w:w="18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318,675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46.06</w:t>
            </w:r>
          </w:p>
        </w:tc>
      </w:tr>
      <w:tr>
        <w:trPr>
          <w:trHeight w:val="243"/>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$55.07-$73.14</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570,992</w:t>
            </w:r>
          </w:p>
        </w:tc>
        <w:tc>
          <w:tcPr>
            <w:tcW w:w="1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64.54</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202,192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58.88</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1,099,592</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520,867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51.03</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SSARs vested during 2018 was approximately $2.8 million. There were 578,725 SSARs that were not vested as of December 31, 2018. The total intrinsic value of outstanding and exercisable SSARs as of December 31, 2018 was $5.2 million and $3.1 million, respectively. The total intrinsic value of SSARs exercised during 2018 was approximately $1.5 million.</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excess tax benefit realized for tax deductions in the United States related to the exercise of SSARs, vesting of RSU awards and vesting of performance awards under the Plan was approximately $1.6 million for the year ended December 31, 2018. The excess tax benefit realized for tax deductions in the United States related to the exercise of SSARs and vesting of RSU awards under the Plan was approximately $0.1 million for the year ended December 31, 2017. The excess tax benefit realized for tax deductions in the United States related to the exercise of SSARs and vesting of RSU awards under the Plan was less than $0.1 million for the year ended December 31, 2016. The Company realized an insignificant tax benefit from the exercise of SSARs, vesting of performance awards and vesting of RSU awards in certain foreign jurisdictions during the years ended December 31, 2018, 2017 and 2016.</w:t>
      </w:r>
    </w:p>
    <w:p>
      <w:pPr>
        <w:spacing w:after="0" w:line="188"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On January 22, 2019, the Company granted 273,665 performance award shares (subject to the Company achieving future target levels of performance), 243,600 SSARs and 131,116 RSUs under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Restricted Stock Grants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Pursuant to the Plan, all non-employee directors receive annual restricted stock grants of the Company’s common stock. All restricted stock grants made to the Company’s directors are restricted as to transferability for a period of one year. In the event a director departs from the Company’s Board of Directors, the non-transferability period expires immediately. The plan allows each director to have the option of forfeiting a portion of the shares awarded in lieu of a cash payment contributed to the participant’s tax withholding to satisfy the statutory minimum federal, state and employment taxes that would be payable at the time of grant. The 2018 grant was made on April 26, 2018 and equated to 17,226 shares of common stock, of which 12,629 shares of common stock were issued, after shares were withheld for taxes. The Company recorded stock compensation expense of approximately $1.1 million during 2018 associated with these grants.</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has significant manufacturing operations in the United States, France, Germany, Finland and Brazil, and it purchases a portion of its tractors, combines and components from third-party foreign suppliers, primarily in various European countries and in Japan. The Company also sells products in approximately 140 countries throughout the world. The Company’s most significant transactional foreign currency exposures are the Euro, Brazilian real and the Canadian dollar in relation to the United States dollar, and the British pound in relation to the Euro. The Company attempts to manage its transactional foreign exchange exposure by hedging foreign currency cash flow forecasts and commitments arising from the anticipated settlement of receivables and payables and from future purchases and sales. Where naturally offsetting currency positions do not occur, the Company hedges certain, but not all, of its exposures through the use of foreign currency contracts. The Company’s translation exposure resulting from translating the financial statements of foreign subsidiaries into United States dollars may be partially hedged from time to time. The Company’s most significant translation exposures are the Euro, the British pound and the Brazilian real in relation to the United States dollar. When practical, the translation impact is reduced by financing local operations with local borrowings.</w:t>
      </w:r>
    </w:p>
    <w:p>
      <w:pPr>
        <w:spacing w:after="0" w:line="18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uses floating rate and fixed rate debt to finance its operations. The floating rate debt obligations expose the Company to variability in interest payments due to changes in the EURIBOR and LIBOR benchmark interest rates. The Company believes it is prudent to limit the variability of a portion of its interest payments, and to meet that objective, the Company periodically enters into interest rate swaps to manage the interest rate risk associated with the Company’s borrowings. The Company designates interest rate contracts used to convert the interest rate exposure on a portion of the Company’s debt portfolio from a floating rate to a fixed rate as cash flow hedges, while those contracts converting the Company’s interest rate exposure from a fixed rate to a floating rate are designated as fair value hedges.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protect the value of the Company’s investment in foreign operations against adverse changes in foreign currency exchange rates, the Company from time to time, may hedge a portion of the Company’s net investment in the foreign subsidiaries by using a cross currency swap. The component of the gains and losses on the Company’s net investment in the designated foreign operations driven by changes in foreign exchange rates are economically offset by movements in the fair value of the cross currency swap contracts.</w:t>
      </w:r>
    </w:p>
    <w:p>
      <w:pPr>
        <w:spacing w:after="0" w:line="180"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The Company’s senior management establishes the Company’s foreign currency and interest rate risk management policies. These policies are reviewed periodically by the Finance Committee of the Company’s Board of Directors. The policies allow for the use of derivative instruments to hedge exposures to movements in foreign currency and interest rates. The Company’s policies prohibit the use of derivative instruments for speculative purposes.</w:t>
      </w:r>
    </w:p>
    <w:p>
      <w:pPr>
        <w:spacing w:after="0" w:line="15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All derivatives are recognized on the Company’s Consolidated Balance Sheets at fair value. On the date the derivative contract is entered into, the Company designates the derivative as either (1) a cash flow hedge of a forecasted transaction, (2) a fair value hedge of a recognized liability, (3) a hedge of a net investment in a foreign operation, or (4) a non-designated derivative instrument.</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formally documents all relationships between hedging instruments and hedged items, as well as the risk management objectives and strategy for undertaking various hedge transactions. The Company formally assesses, both at the hedge’s inception and on an ongoing basis, whether the derivatives that are used in hedging transactions are highly effective in offsetting changes in fair values or cash flow of hedged items or the net investment hedges in foreign operations. When it is determined that a derivative is no longer highly effective as a hedge, hedge accounting is discontinued on a prospective basis.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categorizes its derivative assets and liabilities into one of three levels based on the assumptions used in valuing the asset or liability. See Note 13 for a discussion of the fair value hierarchy as per the guidance in ASC 820. The Company’s valuation techniques are designed to maximize the use of observable inputs and minimize the use of unobservable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Counterparty Risk</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monitors the counterparty risk and credit ratings of all the counterparties to the derivative instruments. The Company believes that its exposures are appropriately diversified across counterparties and that these counterparties are creditworthy financial institutions. If the Company perceives any risk with a counterparty, then the Company would cease to do business with that counterparty. There have been no negative impacts to the Company from any non-performance of any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Designated as Hedging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cash flow hedges to minimize the variability in cash flows of assets or liabilities or forecasted transactions caused by fluctuations in foreign currency exchange rates. The changes in the fair values of these cash flow hedges are recorded in accumulated other comprehensive loss and are subsequently reclassified into “Cost of goods sold” during the period the sales and purchases are recognized. These amounts offset the effect of the changes in foreign currency rates on the related sale and purchase transactions.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2018, 2017 and 2016, the Company designated certain foreign currency contracts as cash flow hedges of expected future sales and purchases. The total notional value of derivatives that were designated as cash flow hedges was $127.0 million and $96.8 million as of December 31, 2018 and 2017, respectively.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 Swap Contract</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monitors the mix of short-term and long-term debt regularly. From time to time, the Company manages the risk to interest rate fluctuations through the use of derivative financial instruments. During 2015, the Company entered into an interest rate swap instrument with a notional amount of €312.0 million and an expiration date of June 26, 2020. The swap was designated and accounted for as a cash flow hedge. Under the swap agreement, the Company paid a fixed interest rate of 0.33% plus the applicable margin, and the counterparty to the agreement paid a floating interest rate based on the three-month EURIBOR. Changes in the fair value of the interest rate swap were recorded in accumulated other comprehensive loss and were subsequently reclassified into “Interest expense, net” as a rate adjustment in the same period in which the related interest on the Company’s floating rate term loan facility affected earnings. As a result of the Company’s new credit facility agreement entered into in October 2018 and the repayment of the €312.0 million (or approximately $360.8 million) term loan under the Company’s former revolving credit facility, as well as the change in the mix of the Company’s short-term and long-term debt, the Company terminated the interest rate swap instrument and recorded a loss of approximately $3.9 million which was recorded in “Interest expense, net” for the year ended December 31, 2018. Refer to Note 7 for further information.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121" w:right="25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after-tax impact that changes in the fair value of derivatives designated as cash flow hedges had on accumulated other comprehensive loss and net income during 2018, 2017 and 2016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Recognized in Net Income</w:t>
            </w: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Amount of</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the Line Item in the</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(Loss) Gain</w:t>
            </w:r>
          </w:p>
        </w:tc>
        <w:tc>
          <w:tcPr>
            <w:tcW w:w="3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Condensed</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Reclassified from</w:t>
            </w:r>
          </w:p>
        </w:tc>
        <w:tc>
          <w:tcPr>
            <w:tcW w:w="3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3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Statements of</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4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Classification of</w:t>
            </w: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Containing Hedge</w:t>
            </w:r>
          </w:p>
        </w:tc>
      </w:tr>
      <w:tr>
        <w:trPr>
          <w:trHeight w:val="238"/>
        </w:trPr>
        <w:tc>
          <w:tcPr>
            <w:tcW w:w="4240" w:type="dxa"/>
            <w:vAlign w:val="bottom"/>
          </w:tcPr>
          <w:p>
            <w:pPr>
              <w:spacing w:after="0"/>
              <w:rPr>
                <w:sz w:val="20"/>
                <w:szCs w:val="20"/>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120" w:type="dxa"/>
            <w:vAlign w:val="bottom"/>
          </w:tcPr>
          <w:p>
            <w:pPr>
              <w:spacing w:after="0"/>
              <w:rPr>
                <w:sz w:val="20"/>
                <w:szCs w:val="20"/>
                <w:color w:val="auto"/>
              </w:rPr>
            </w:pPr>
          </w:p>
        </w:tc>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120" w:type="dxa"/>
            <w:vAlign w:val="bottom"/>
          </w:tcPr>
          <w:p>
            <w:pPr>
              <w:spacing w:after="0"/>
              <w:rPr>
                <w:sz w:val="20"/>
                <w:szCs w:val="20"/>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 into Income</w:t>
            </w:r>
          </w:p>
        </w:tc>
        <w:tc>
          <w:tcPr>
            <w:tcW w:w="3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 (Losses)</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70"/>
        </w:trPr>
        <w:tc>
          <w:tcPr>
            <w:tcW w:w="4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25"/>
                <w:szCs w:val="25"/>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3"/>
                <w:szCs w:val="23"/>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7,355.3</w:t>
            </w: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r>
      <w:tr>
        <w:trPr>
          <w:trHeight w:val="297"/>
        </w:trPr>
        <w:tc>
          <w:tcPr>
            <w:tcW w:w="4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6,541.2</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r>
      <w:tr>
        <w:trPr>
          <w:trHeight w:val="297"/>
        </w:trPr>
        <w:tc>
          <w:tcPr>
            <w:tcW w:w="4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5,895.0</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57"/>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50"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outstanding contracts as of December 31, 2018 range in maturity through December 2019.</w:t>
      </w:r>
    </w:p>
    <w:p>
      <w:pPr>
        <w:spacing w:after="0" w:line="20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derivatives held by the Company during the years ended December 31, 2018, 2017 and 2016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After-Tax</w:t>
            </w: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18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derivative net losses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losses reclassified from accumulated other comprehensive loss into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derivative net losses as of December 31, 2016</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losses reclassified from accumulated other comprehensive loss into income</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derivative net losses as of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losses reclassified from accumulated other comprehensive loss into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derivative net gains as of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w:t>
      </w:r>
    </w:p>
    <w:p>
      <w:pPr>
        <w:spacing w:after="0" w:line="229"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 Company uses interest rate swap agreements designated as fair value hedges to minimize exposure to changes in the fair value of fixed-rate debt that results from fluctuations in benchmark interest rates. During 2016, the Company terminated an interest rate swap transaction with a notional amount of $300.0 million and received cash proceeds of approximately $7.3 million. The resulting gain was deferred and was being amortized as a reduction to “Interest expense, net” over the remaining term of the Company’s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through December 1, 2021. During 2018, the remaining unamortized gain was recognized primarily through accelerated amortization due to the repurchase of the 5</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8"/>
          <w:szCs w:val="18"/>
          <w:color w:val="auto"/>
        </w:rPr>
        <w:t>% senior notes as is more fully described in Note 7.</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Company uses non-derivative and derivative instruments, to hedge a portion of its net investment in foreign operations against adverse movements in exchange rates. For instruments that are designated as hedges of net investments in foreign operations, changes in the fair value of the derivative instruments are recorded in foreign currency translation adjustments, a component of accumulated other comprehensive loss, to offset changes in the value of the net investments being hedged. When the net investment in foreign operations is sold or substantially liquidates, the amounts recorded in accumulated other comprehensive loss are reclassified to earnings. To the extent foreign currency denominated debt is de-designated from a net investment hedge relationship, changes in the value of the foreign currency denominated debt are recorded in earnings through the maturity date.</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2015, the Company designated its €312.0 million term loan facility with a maturity date of June 26, 2020 as a hedge of its net investment in foreign operations to offset foreign currency translation gains or losses on the net investment. In October 2018, the Company repaid the term loan facility and the foreign currency denominated debt was de-designated as a net investment hedge. Refer to Note 7 for further information.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January 2018, the Company entered into a cross currency swap contract as a hedge of its net investment in foreign operations to offset foreign currency translation gains or losses on the net investment. The cross currency swap has an expiration date of January 19, 2021. At maturity of the cross currency swap contract, the Company will deliver the notional amount of approximately €245.7 million (or approximately $281.0 million as of December 31, 2018) and will receive $300.0 million from the counterparties. The Company will receive quarterly interest payments from the counterparties based on a fixed interest rate until maturity of the cross currency swap.</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notional values of the instrument designated as a net investment hedge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Notional Amount as of</w:t>
            </w:r>
          </w:p>
        </w:tc>
      </w:tr>
      <w:tr>
        <w:trPr>
          <w:trHeight w:val="27"/>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2017</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denominated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 currency swap contract</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after-tax impact of changes in the fair value of the instrument designated as a net investment hedge (in millions):</w:t>
      </w:r>
    </w:p>
    <w:p>
      <w:pPr>
        <w:spacing w:after="0" w:line="167"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(Loss) Gain Recognized in Accumulated Other</w:t>
      </w:r>
    </w:p>
    <w:p>
      <w:pPr>
        <w:spacing w:after="0" w:line="31"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Comprehensive Loss 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22860</wp:posOffset>
            </wp:positionV>
            <wp:extent cx="2821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1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denominated debt</w:t>
            </w:r>
          </w:p>
        </w:tc>
        <w:tc>
          <w:tcPr>
            <w:tcW w:w="3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 currency swap contract</w:t>
            </w:r>
          </w:p>
        </w:tc>
        <w:tc>
          <w:tcPr>
            <w:tcW w:w="2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4120" w:type="dxa"/>
            <w:vAlign w:val="bottom"/>
          </w:tcPr>
          <w:p>
            <w:pPr>
              <w:spacing w:after="0"/>
              <w:rPr>
                <w:sz w:val="24"/>
                <w:szCs w:val="24"/>
                <w:color w:val="auto"/>
              </w:rPr>
            </w:pPr>
          </w:p>
        </w:tc>
        <w:tc>
          <w:tcPr>
            <w:tcW w:w="28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Not Designated as Hedging Instruments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2018, 2017 and 2016, the Company entered into foreign currency contracts to economically hedge receivables and payables on the Company and its subsidiaries’ balance sheets that are denominated in foreign currencies other than the functional currency. These contracts were classified as non-designated derivative instruments. Gains and losses on such contracts are substantially offset by losses and gains on the remeasurement of the underlying asset or liability being hedged and are immediately recognized into earnings. As of December 31, 2018 and 2017, the Company had outstanding foreign currency contracts with a notional amount of approximately $1,335.8 million and $1,701.4 million, respectively.</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that changes in the fair value of derivatives not designated as hedging instruments had on net income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Classification of</w:t>
            </w: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(Loss) Gain</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Other expense, net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fair value of derivative instruments as of December 31, 2018 (in millions):</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Liability Derivatives as of December 31,</w:t>
            </w:r>
          </w:p>
        </w:tc>
      </w:tr>
      <w:tr>
        <w:trPr>
          <w:trHeight w:val="238"/>
        </w:trPr>
        <w:tc>
          <w:tcPr>
            <w:tcW w:w="4060" w:type="dxa"/>
            <w:vAlign w:val="bottom"/>
          </w:tcPr>
          <w:p>
            <w:pPr>
              <w:spacing w:after="0"/>
              <w:rPr>
                <w:sz w:val="20"/>
                <w:szCs w:val="20"/>
                <w:color w:val="auto"/>
              </w:rPr>
            </w:pPr>
          </w:p>
        </w:tc>
        <w:tc>
          <w:tcPr>
            <w:tcW w:w="35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Asset Derivatives as of December 31, 2018</w:t>
            </w:r>
          </w:p>
        </w:tc>
        <w:tc>
          <w:tcPr>
            <w:tcW w:w="28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4"/>
        </w:trPr>
        <w:tc>
          <w:tcPr>
            <w:tcW w:w="4060" w:type="dxa"/>
            <w:vAlign w:val="bottom"/>
          </w:tcPr>
          <w:p>
            <w:pPr>
              <w:spacing w:after="0"/>
              <w:rPr>
                <w:sz w:val="18"/>
                <w:szCs w:val="18"/>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8"/>
                <w:szCs w:val="18"/>
                <w:color w:val="auto"/>
              </w:rPr>
            </w:pP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060" w:type="dxa"/>
            <w:vAlign w:val="bottom"/>
          </w:tcPr>
          <w:p>
            <w:pPr>
              <w:spacing w:after="0"/>
              <w:rPr>
                <w:sz w:val="20"/>
                <w:szCs w:val="2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4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40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5"/>
        </w:trPr>
        <w:tc>
          <w:tcPr>
            <w:tcW w:w="40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 instruments designated as hedging</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41"/>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43"/>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Cross currency swap contract</w:t>
            </w:r>
          </w:p>
        </w:tc>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Other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Other noncurrent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 designated as hedging</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Other 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57"/>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4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fair value of derivative instruments as of December 31, 2017 (in millions):</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Liability Derivatives as of December 31,</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35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Asset Derivatives as of December 31, 2017</w:t>
            </w:r>
          </w:p>
        </w:tc>
        <w:tc>
          <w:tcPr>
            <w:tcW w:w="28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8"/>
                <w:szCs w:val="18"/>
                <w:color w:val="auto"/>
              </w:rPr>
            </w:pP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4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 instruments designated as hedging</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contract</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 designated as hedging</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57"/>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3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future payments required under the Company’s significant commitments, excluding indebtedness, as of December 31, 2018 are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Interest payments related to indebtedness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2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70"/>
        </w:trPr>
        <w:tc>
          <w:tcPr>
            <w:tcW w:w="40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Unconditional purchase obligations</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short-term and long-term obligations</w:t>
            </w:r>
            <w:r>
              <w:rPr>
                <w:rFonts w:ascii="Times New Roman" w:cs="Times New Roman" w:eastAsia="Times New Roman" w:hAnsi="Times New Roman"/>
                <w:sz w:val="25"/>
                <w:szCs w:val="25"/>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746.7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40" w:right="40" w:hanging="332"/>
        <w:spacing w:after="0" w:line="253"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payments are calculated assuming current interest rates over minimum maturity periods specified in debt agreements. Debt may be repaid sooner or later than such minimum maturity periods (unaudited).</w:t>
      </w: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Unconditional purchase obligations exclude routine purchase orders entered into in the normal course of business.</w:t>
      </w:r>
    </w:p>
    <w:p>
      <w:pPr>
        <w:spacing w:after="0" w:line="1" w:lineRule="exact"/>
        <w:rPr>
          <w:rFonts w:ascii="Times New Roman" w:cs="Times New Roman" w:eastAsia="Times New Roman" w:hAnsi="Times New Roman"/>
          <w:sz w:val="14"/>
          <w:szCs w:val="14"/>
          <w:color w:val="auto"/>
        </w:rPr>
      </w:pPr>
    </w:p>
    <w:p>
      <w:pPr>
        <w:jc w:val="both"/>
        <w:ind w:left="340" w:right="60" w:hanging="332"/>
        <w:spacing w:after="0" w:line="250"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short-term and long-term obligations include estimates of future minimum contribution requirements under the Company’s U.S. and non-U.S. defined benefit pension and postretirement plans. These estimates are based on current legislation in the countries the Company operates within and are subject to change. Other short-term and long-term obligations also include income tax liabilities related to uncertain income tax positions connected with ongoing income tax audits in various jurisdictions (unaudited).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Amount of Commitment Expiration Per Period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Guarantees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remarketing agreement with its U.S. finance joint venture, AGCO Finance LLC, whereby the Company is obligated to repurchase up to $6.0 million of repossessed equipment each calendar year. The Company believes that any losses that might be incurred on the resale of this equipment will not materially impact the Company’s financial position or results of operations, due to the fair value of the underlying equipment.</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December 31, 2018, the Company has outstanding guarantees of indebtedness owed to third parties of approximately $40.6 million, primarily related to dealer and end-user financing of equipment. Such guarantees generally obligate the Company to repay outstanding finance obligations owed to financial institutions if dealers or end users default on such loans through 2023. Losses under such guarantees historically have been insignificant. In addition, the Company generally would expect to be able to recover a significant portion of the amounts paid under such guarantees from the sale of the underlying financed farm equipment, as the fair value of such equipment is expected to be sufficient to offset a substantial portion of the amounts paid. The Company believes the credit risk associated with these guarantees is not material to its financial position or results of operations.</w:t>
      </w:r>
    </w:p>
    <w:p>
      <w:pPr>
        <w:spacing w:after="0" w:line="18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addition, at December 31, 2018, the Company had accrued approximately $13.6 million of outstanding guarantees of minimum residual values that may be owed to its finance joint ventures in the United States and Canada due upon expiration of certain eligible operating leases between the finance joint ventures and end users.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right="30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2018, the Company had outstanding designated and non-designated foreign exchange contracts with a gross notional amount of approximately $1,462.8 million. The outstanding contracts as of December 31, 2018 range in maturity through December 2018 (Note 11).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Company sells a majority of its wholesale receivables in North America, Europe and Brazil to its U.S., Canadian, European and Brazilian finance joint ventures. The Company also sells certain accounts receivable under factoring arrangements to financial institutions around the world. The Company reviewed the sale of such receivables and determined that these facilities should be accounted for as off-balance sheet transactions.</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Total lease expense under noncancelable operating leases was $72.1 million, $73.0 million and $76.8 million for the years ended December 31, 2018, 2017 and 2016,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August 2008, as part of routine audits, the Brazilian taxing authorities disallowed deductions relating to the amortization of certain goodwill recognized in connection with a reorganization of the Company’s Brazilian operations and the related transfer of certain assets to the Company’s Brazilian subsidiaries. The amount of the tax disallowance through December 31, 2018, not including interest and penalties, was approximately 131.5 million Brazilian Reais (or approximately $33.9 million). The amount ultimately in dispute will be significantly greater because of interest and penalties. The Company has been advised by its legal and tax advisors that its position with respect to the deductions is allowable under the tax laws of Brazil. The Company is contesting the disallowance and believes that it is not likely that the assessment, interest or penalties will be required to be paid. However, the ultimate outcome will not be determined until the Brazilian tax appeal process is complete, which could take several years.</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other legal claims and actions incidental to its business. The Company believes that none of these claims or actions, either individually or in the aggregate, is material to its business or financial statements as a whole, including its results of operations and financial condition.</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used in valuing the asset or liability. Estimates of fair value for financial assets and liabilities are based on a fair value hierarchy that prioritizes the inputs to valuation techniques used to measure fair value. Observable inputs (highest level) reflect market data obtained from independent sources, while unobservable inputs (lowest level) reflect internally developed market assumptions. In accordance with this guidance, fair value measurements are classified under the following hierarchy: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or similar assets or liabilities in markets that are not active; and model-derived valuations in which all significant inputs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Model-derived valuations in which one or more significant inputs are unobservable.</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categorizes its pension plan assets into one of the three levels of the fair value hierarchy. See Note 8 for a discussion of the valuation methods used to measure the fair value of the Company’s pension plan assets.</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foreign currency and interest rate swap contracts. The fair values of the Company’s derivative instruments are determined using discounted cash flow valuation models. The significant inputs used in these models are readily available in public markets, or can be derived from observable market transactions, and therefore have been classified as Level 2. Inputs used in these discounted cash flow valuation models for derivative instruments include the applicable exchange rates, forward rates or interest rates. Such models used for option contracts also use implied volatility. See Note 11 for a discussion of the Company’s derivative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80"/>
          </w:cols>
          <w:pgMar w:left="240" w:top="121" w:right="27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December 31, 2018 and 2017 are summarized below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621"/>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2017</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accounts and notes receivable, and accounts payable are valued at their carrying amounts in the Company’s Consolidated Balance Sheets, due to the immediate or short-term maturity of these financial instruments.</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long-term debt under the Company’s 1.056% senior term loan, senior term loans due 2022, credit facility and senior term loans due between 2019 and 2028 (Note 7) approximate fair value based on the borrowing rates currently available to the Company for loans with similar terms and average maturities.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Rabobank, a financial institution based in the Netherlands, is a 51% owner in the Company’s finance joint ventures, which are located in the United States, Canada, Europe, Brazil, Argentina and Australia. Rabobank is also the principal agent and participant in the Company’s revolving credit facility (Note 7). The majority of the assets of the Company’s finance joint ventures represents finance receivables. The majority of the liabilities represents notes payable and accrued interest. Under the various joint venture agreements, Rabobank or its affiliates provide financing to the joint venture companies, primarily through lines of credit. During both 2018 and 2017, the Company did not make additional investments in its finance joint ventures. During 2016, the Company made a total of approximately $2.8 million of additional investments in its retail finance joint venture in the Netherlands, primarily related to additional capital required as a result of increased retail finance portfolios during 2016. During 2018 and 2017, the Company received dividends of approximately $29.4 million and $78.5 million, respectively, from certain of the Company’s finance joint ventures.</w:t>
      </w:r>
    </w:p>
    <w:p>
      <w:pPr>
        <w:spacing w:after="0" w:line="185"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The Company’s finance joint ventures provide retail financing and wholesale financing to its dealers. The terms of the financing arrangements offered to the Company’s dealers are similar to arrangements the finance joint ventures provide to unaffiliated third parties. In addition, the Company transfers, on an ongoing basis, a majority of its wholesale receivables in North America, Europe and Brazil to its U.S., Canadian, European and Brazilian finance joint ventures (Note 4). The Company maintains a remarketing agreement with its U.S. finance joint venture (Note 12). In addition, as part of sales incentives provided to end users, the Company may from time to time subsidize interest rates of retail financing provided by its finance joint ventures. The cost of those programs is recognized at the time of sale to the Company’s dealers.</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Tractors and Farm Equipment Limited (“TAFE”), in which the Company holds a 23.75% interest, manufactures and sells Massey Ferguson-branded equipment primarily in India, and also supplies tractors and components to the Company for sale in other markets. Mallika Srinivasan, who is the Chairman and Chief Executive Officer of TAFE, is currently a member of the Company’s Board of Directors. As of December 31, 2018, TAFE owned 12,150,152 shares of the Company’s common stock. The Company and TAFE are parties to an agreement pursuant to which, among other things, TAFE has agreed not to purchase in excess of 12,170,290 shares of the Company’s common stock, subject to certain adjustments, and the Company has agreed to annually nominate a TAFE representative to its Board of Directors. During 2018, 2017 and 2016, the Company purchased approximately $109.6 million, $102.0 million and $128.5 million, respectively, of tractors and components from TAFE. During 2018, 2017 and 2016, the Company sold approximately $1.8 million, $1.2 million and $1.1 million, respectively, of parts to TAFE. The Company received dividends from TAFE of approximately $1.8 million, during both 2018 and 2017, and $1.6 million during 2016.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2018, 2017 and 2016, the Company paid approximately $3.5 million, $7.2 million and $3.1 million, respectively, to PPG Industries, Inc. for painting materials used in the Company’s manufacturing processes. The Company’s Chairman, President and Chief Executive Officer is currently a member of the board of directors of PPG Industries, Inc.</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2018, 2017 and 2016, the Company paid approximately $1.6 million, $1.5 million and $2.0 million, respectively, to Praxair, Inc. for propane, gas and welding, and laser consumables used in the Company’s manufacturing processes. The Company’s Chairman, President and Chief Executive Officer is currently a member of the board of directors of Praxair, Inc.</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Effective January 1, 2017, the Company modified its system of reporting, resulting from changes to its internal management and organizational structure, which changed its reportable segments from North America; South America; Europe/Africa/Middle East; and Asia/Pacific to North America; South America; Europe/Middle East; and Asia/Pacific/Africa. The Asia/Pacific/Africa reportable segment includes the regions of Africa, Asia, Australia and New Zealand, and the Europe/Middle East segment no longer includes certain markets in Africa. Effective January 1, 2017, these reportable segments are reflective of how the Company’s chief operating decision maker reviews operating results for the purposes of allocating resources and assessing performance. Disclosures for the years ended December 31, 2018, 2017 and 2016 have been adjusted to reflect the change in reportable segments.</w:t>
      </w:r>
    </w:p>
    <w:p>
      <w:pPr>
        <w:spacing w:after="0" w:line="18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Company’s four reportable segments distribute a full range of agricultural equipment and related replacement parts. The Company evaluates segment performance primarily based on income from operations. Sales for each segment are based on the location of the third-party customer. The Company’s selling, general and administrative expenses and engineering expenses are charged to each segment based on the region and division where the expenses are incurred. As a result, the components of income from operations for one segment may not be comparable to another segment. Segment results for the years ended December 31, 2018, 2017 and 2016 based on the Company’s current reportable segments are as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South</w:t>
            </w: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8"/>
        </w:trPr>
        <w:tc>
          <w:tcPr>
            <w:tcW w:w="43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America</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East</w:t>
            </w:r>
          </w:p>
        </w:tc>
        <w:tc>
          <w:tcPr>
            <w:tcW w:w="16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120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48"/>
        </w:trPr>
        <w:tc>
          <w:tcPr>
            <w:tcW w:w="40" w:type="dxa"/>
            <w:vAlign w:val="bottom"/>
            <w:tcBorders>
              <w:bottom w:val="single" w:sz="8" w:color="CCEEFF"/>
            </w:tcBorders>
          </w:tcPr>
          <w:p>
            <w:pPr>
              <w:spacing w:after="0"/>
              <w:rPr>
                <w:sz w:val="4"/>
                <w:szCs w:val="4"/>
                <w:color w:val="auto"/>
              </w:rPr>
            </w:pPr>
          </w:p>
        </w:tc>
        <w:tc>
          <w:tcPr>
            <w:tcW w:w="2060" w:type="dxa"/>
            <w:vAlign w:val="bottom"/>
            <w:tcBorders>
              <w:top w:val="single" w:sz="8" w:color="auto"/>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5,385.1</w:t>
            </w:r>
          </w:p>
        </w:tc>
        <w:tc>
          <w:tcPr>
            <w:tcW w:w="1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9,352.0</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743.7</w:t>
            </w: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4,175.1</w:t>
            </w: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203.3</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4,614.3</w:t>
            </w:r>
          </w:p>
        </w:tc>
        <w:tc>
          <w:tcPr>
            <w:tcW w:w="1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8,306.5</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624.4</w:t>
            </w: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222.8</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4,390.0</w:t>
            </w: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203.9</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4,089.7</w:t>
            </w:r>
          </w:p>
        </w:tc>
        <w:tc>
          <w:tcPr>
            <w:tcW w:w="1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7,410.5</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481.9</w:t>
            </w: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223.4</w:t>
            </w: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3,779.4</w:t>
            </w:r>
          </w:p>
        </w:tc>
      </w:tr>
      <w:tr>
        <w:trPr>
          <w:trHeight w:val="243"/>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r>
      <w:tr>
        <w:trPr>
          <w:trHeight w:val="486"/>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from the segment information to the consolidated balances for income from operations and total assets is set forth below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4,175.1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4,390.0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3,779.4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429.7</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 other current and noncurrent assets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560.7</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1,495.5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1,541.4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1,376.4</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7,626.4</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7,971.7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7,168.4</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Property, plant and equipment and amortizable intangible assets by country as of December 31, 2018 and 2017 was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405.5</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Finland</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149.9</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182.1</w:t>
            </w:r>
          </w:p>
        </w:tc>
      </w:tr>
      <w:tr>
        <w:trPr>
          <w:trHeight w:val="237"/>
        </w:trPr>
        <w:tc>
          <w:tcPr>
            <w:tcW w:w="79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1,859.3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2,045.7</w:t>
            </w: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Revenue is recognized when the Company satisfies the performance obligation by transferring control over goods or services to a dealer, distributor or other customer. The amount of revenue recognized is measured as the consideration the Company expects to receive in exchange for those goods or services pursuant to a contract with the customer. A contract exists once the Company receives and accepts a purchase order under a dealer sales agreement, or once the Company enters into a contract with an end user. The Company does not recognize revenue in cases where collectability is not probable, and defers the recognition until collection is probable or payment is received.</w:t>
      </w:r>
    </w:p>
    <w:p>
      <w:pPr>
        <w:spacing w:after="0" w:line="184"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The Company generates revenue from the manufacture and distribution of agricultural equipment and replacement parts. Sales of equipment and replacement parts, which represents a majority of the Company’s net sales, are recorded by the Company at the point in time when title and control have been transferred to an independent dealer, distributor or other customer. Title generally passes to the dealer or distributor upon shipment or specified delivery, and the risk of loss upon damage, theft or destruction of the equipment is the responsibility of the dealer, distributor or designated third-party carrier. The Company believes control passes and the performance obligation is satisfied at the point of the stated shipping or delivery term with respect to such sales.</w:t>
      </w:r>
    </w:p>
    <w:p>
      <w:pPr>
        <w:spacing w:after="0" w:line="16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amount of consideration the Company receives and the revenue recognized varies with certain sales incentives the Company offers to dealers and distributors. Estimates for sales incentives are made at the time of sale for existing incentive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programs using the expected value method. These estimates are revised in the event of subsequent modification to the incentive program. All incentive programs are recorded and presented as a reduction of revenue, due to the fact that the Company does not receive a distinct good or service in exchange for the consideration provided.</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Dealers or distributors may not return equipment or replacement parts while its contract with the Company is in force, except for under established promotional and annual replacement parts return programs. At the time of sale, the Company estimates the amount of returns based on the terms of promotional and annual return programs and anticipated returns in the future.</w:t>
      </w:r>
    </w:p>
    <w:p>
      <w:pPr>
        <w:spacing w:after="0" w:line="176"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Sales and other related taxes are excluded from the transaction price. Shipping and handling costs associated with freight are accounted for as fulfillment costs and are expensed at the time revenue is recognized in “Cost of goods sold” and “Selling, general and administrative expenses” in the Company’s Consolidated Statements of Operations.</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applied the practical expedient in ASU 2014-09 to not adjust the amount of revenue to be recognized under a contract with a dealer, distributor or other customer for the time value of money when the difference between the receipt of payment and the recognition of revenue is less than one year.</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Although, substantially all revenue is recognized at a point in time, a relatively insignificant amount of installation revenue associated with the sale of grain storage and protein production systems is recognized on an “over time” basis as discussed below. The Company also recognizes revenue “over time” with respect to extended warranty or maintenance contracts and certain technology services. Generally, all of the contracts with customers that relate to “over time” revenue recognition have contract durations of less than 12 months.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Grain Storage and Protein Production Systems Installation Revenue. </w:t>
      </w:r>
      <w:r>
        <w:rPr>
          <w:rFonts w:ascii="Times New Roman" w:cs="Times New Roman" w:eastAsia="Times New Roman" w:hAnsi="Times New Roman"/>
          <w:sz w:val="18"/>
          <w:szCs w:val="18"/>
          <w:color w:val="auto"/>
        </w:rPr>
        <w:t>In certain countries, the Company sells grain storage and protein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where the Company is responsible for construction and installation, and the sale is contingent upon customer acceptance. Under these conditions, the revenues are recognized over the term of the contract when the Company can objectively determine control has been transferred to the customer in accordance with agreed-upon specifications in the contract. For these contracts, the Company may be entitled to receive an advance payment, which is recognized as a contract liability for the amount in excess of the revenue recognized. The Company uses the input method using costs incurred to date relative to total estimated costs at completion to measure the progress toward satisfaction of the performance obligation. Revenues are recorded proportionally as costs are incurred. Costs include labor, material and overhead. The estimation of the progress toward completion is subject to various assumptions. As part of the estimation process, the Company reviews the length of time to complete the performance obligation, the cost of materials and labor productivity. If a significant change in one of the assumptions occurs, then the Company will recognize an adjustment under the cumulative catch-up method and the impact of the adjustment on the revenue recorded to date is recognized in the period the adjustment is identified.</w:t>
      </w:r>
    </w:p>
    <w:p>
      <w:pPr>
        <w:spacing w:after="0" w:line="186"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Extended Warranty Contracts. </w:t>
      </w:r>
      <w:r>
        <w:rPr>
          <w:rFonts w:ascii="Times New Roman" w:cs="Times New Roman" w:eastAsia="Times New Roman" w:hAnsi="Times New Roman"/>
          <w:sz w:val="18"/>
          <w:szCs w:val="18"/>
          <w:color w:val="auto"/>
        </w:rPr>
        <w:t>The Company sells separately priced extended warranty contracts, which extends coverage beyond the base warranty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Revenue is recognized for the extended warranty contract on a straight-line basis, which the Company believes approximates the costs expected to be incurred in satisfying the obligations, over the extended warranty period. The extended warranty period ranges from one to five years. Payment is received at the inception of the extended warranty contract, which is recognized as a contract liability for the amount in excess of the revenue recognized. The revenue associated with the sale of extended warranty contracts is insignificant.</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Technology Services Revenue. </w:t>
      </w:r>
      <w:r>
        <w:rPr>
          <w:rFonts w:ascii="Times New Roman" w:cs="Times New Roman" w:eastAsia="Times New Roman" w:hAnsi="Times New Roman"/>
          <w:sz w:val="18"/>
          <w:szCs w:val="18"/>
          <w:color w:val="auto"/>
        </w:rPr>
        <w:t>The Company sells a combination of technology products and services. When the bundled package of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is sold, the portion of the consideration received related to the services component is recognized over time as the Company satisfies the future performance obligation. Revenue is recognized for the hardware component when control is transferred to the dealer or distributor. The revenue associated with the sale of technology services is insignificant.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Contract assets relate to the Company’s right to recover returned replacement parts. When the refund for the returned replacement part is settled with the dealer or distributor, the contract asset is then transferred to inventory. Contract liabilities relate to the following: (1) the obligation to refund dealers or distributors for the expected return of replacement parts, (2) unrecognized revenues where advance payment of consideration precedes the Company’s performance with respect to extended warranty contracts and where the performance obligation is satisfied over time, (3) unrecognized revenues where advance</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121" w:right="25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payment of consideration precedes the Company’s performance with respect to certain grain storage and protein production systems and where the performance obligation is satisfied over time and (4) unrecognized revenues where advance payment consideration precedes the Company’s performance with respect to technology services and where the performance obligation is satisfied over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changes in the balance of contract assets and liabilities for the year ended December 31, 2018 were as follows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480" w:type="dxa"/>
            <w:vAlign w:val="bottom"/>
          </w:tcPr>
          <w:p>
            <w:pPr>
              <w:spacing w:after="0"/>
              <w:rPr>
                <w:sz w:val="21"/>
                <w:szCs w:val="21"/>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0" w:type="dxa"/>
            <w:vAlign w:val="bottom"/>
          </w:tcPr>
          <w:p>
            <w:pPr>
              <w:spacing w:after="0"/>
              <w:rPr>
                <w:sz w:val="1"/>
                <w:szCs w:val="1"/>
                <w:color w:val="auto"/>
              </w:rPr>
            </w:pPr>
          </w:p>
        </w:tc>
      </w:tr>
      <w:tr>
        <w:trPr>
          <w:trHeight w:val="265"/>
        </w:trPr>
        <w:tc>
          <w:tcPr>
            <w:tcW w:w="94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center"/>
              <w:ind w:right="270"/>
              <w:spacing w:after="0" w:line="265" w:lineRule="exact"/>
              <w:rPr>
                <w:sz w:val="20"/>
                <w:szCs w:val="20"/>
                <w:color w:val="auto"/>
              </w:rPr>
            </w:pPr>
            <w:r>
              <w:rPr>
                <w:rFonts w:ascii="Times New Roman" w:cs="Times New Roman" w:eastAsia="Times New Roman" w:hAnsi="Times New Roman"/>
                <w:sz w:val="18"/>
                <w:szCs w:val="18"/>
                <w:b w:val="1"/>
                <w:bCs w:val="1"/>
                <w:color w:val="auto"/>
                <w:w w:val="94"/>
              </w:rPr>
              <w:t>31, 2018</w:t>
            </w:r>
            <w:r>
              <w:rPr>
                <w:rFonts w:ascii="Times New Roman" w:cs="Times New Roman" w:eastAsia="Times New Roman" w:hAnsi="Times New Roman"/>
                <w:sz w:val="25"/>
                <w:szCs w:val="25"/>
                <w:b w:val="1"/>
                <w:bCs w:val="1"/>
                <w:color w:val="auto"/>
                <w:w w:val="94"/>
                <w:vertAlign w:val="superscript"/>
              </w:rPr>
              <w:t>(1)</w:t>
            </w: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expected returns of replacement parts sold during the period</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 of returned replacement parts to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9480" w:type="dxa"/>
            <w:vAlign w:val="bottom"/>
          </w:tcPr>
          <w:p>
            <w:pPr>
              <w:spacing w:after="0"/>
              <w:rPr>
                <w:sz w:val="21"/>
                <w:szCs w:val="21"/>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0" w:type="dxa"/>
            <w:vAlign w:val="bottom"/>
          </w:tcPr>
          <w:p>
            <w:pPr>
              <w:spacing w:after="0"/>
              <w:rPr>
                <w:sz w:val="1"/>
                <w:szCs w:val="1"/>
                <w:color w:val="auto"/>
              </w:rPr>
            </w:pPr>
          </w:p>
        </w:tc>
      </w:tr>
      <w:tr>
        <w:trPr>
          <w:trHeight w:val="265"/>
        </w:trPr>
        <w:tc>
          <w:tcPr>
            <w:tcW w:w="94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center"/>
              <w:ind w:right="270"/>
              <w:spacing w:after="0" w:line="265" w:lineRule="exact"/>
              <w:rPr>
                <w:sz w:val="20"/>
                <w:szCs w:val="20"/>
                <w:color w:val="auto"/>
              </w:rPr>
            </w:pPr>
            <w:r>
              <w:rPr>
                <w:rFonts w:ascii="Times New Roman" w:cs="Times New Roman" w:eastAsia="Times New Roman" w:hAnsi="Times New Roman"/>
                <w:sz w:val="18"/>
                <w:szCs w:val="18"/>
                <w:b w:val="1"/>
                <w:bCs w:val="1"/>
                <w:color w:val="auto"/>
                <w:w w:val="94"/>
              </w:rPr>
              <w:t>31, 2018</w:t>
            </w:r>
            <w:r>
              <w:rPr>
                <w:rFonts w:ascii="Times New Roman" w:cs="Times New Roman" w:eastAsia="Times New Roman" w:hAnsi="Times New Roman"/>
                <w:sz w:val="25"/>
                <w:szCs w:val="25"/>
                <w:b w:val="1"/>
                <w:bCs w:val="1"/>
                <w:color w:val="auto"/>
                <w:w w:val="94"/>
                <w:vertAlign w:val="superscript"/>
              </w:rPr>
              <w:t>(1)</w:t>
            </w: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consideration received</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 for expected reimbursement of replacement parts sold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during the period for extended warranty contracts</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during the period related to installation of grain storage and protein production systems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Replacement part settlements made during the period</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4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(1) The beginning of the period is from the date of adoption of ASU 2014-09 or January 1, 2018.</w:t>
            </w: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contract assets are classified as “Other current assets” and “Other assets”, and the contract liabilities are classified as either “Other current and noncurrent liabilities” or “Accrued expenses” in the Company’s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estimated revenues expected to be recognized in the future related to performance obligations that are unsatisfied (or partially unsatisfied) as of December 31, 2018 are $29.6 million in 2019, $21.1 million in 2020, $11.8 million in 2021, $5.8 million in 2022 and $1.8 million thereafter, and relate primarily to extended warranty contracts. The Company applied the practical expedient in ASU 2014-09 and has not disclosed information about remaining performance obligations that have original expected durations of 12 months or less.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year ended December 31, 2018 disaggregated by primary geographical markets and major products consisted of the following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5"/>
        </w:trPr>
        <w:tc>
          <w:tcPr>
            <w:tcW w:w="3700" w:type="dxa"/>
            <w:vAlign w:val="bottom"/>
          </w:tcPr>
          <w:p>
            <w:pPr>
              <w:spacing w:after="0"/>
              <w:rPr>
                <w:sz w:val="23"/>
                <w:szCs w:val="23"/>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40" w:type="dxa"/>
            <w:vAlign w:val="bottom"/>
          </w:tcPr>
          <w:p>
            <w:pPr>
              <w:spacing w:after="0"/>
              <w:rPr>
                <w:sz w:val="23"/>
                <w:szCs w:val="23"/>
                <w:color w:val="auto"/>
              </w:rPr>
            </w:pPr>
          </w:p>
        </w:tc>
        <w:tc>
          <w:tcPr>
            <w:tcW w:w="1440" w:type="dxa"/>
            <w:vAlign w:val="bottom"/>
            <w:gridSpan w:val="2"/>
          </w:tcPr>
          <w:p>
            <w:pPr>
              <w:jc w:val="center"/>
              <w:ind w:right="240"/>
              <w:spacing w:after="0" w:line="265" w:lineRule="exact"/>
              <w:rPr>
                <w:sz w:val="20"/>
                <w:szCs w:val="20"/>
                <w:color w:val="auto"/>
              </w:rPr>
            </w:pPr>
            <w:r>
              <w:rPr>
                <w:rFonts w:ascii="Times New Roman" w:cs="Times New Roman" w:eastAsia="Times New Roman" w:hAnsi="Times New Roman"/>
                <w:sz w:val="18"/>
                <w:szCs w:val="18"/>
                <w:b w:val="1"/>
                <w:bCs w:val="1"/>
                <w:color w:val="auto"/>
                <w:w w:val="89"/>
              </w:rPr>
              <w:t>East</w:t>
            </w:r>
            <w:r>
              <w:rPr>
                <w:rFonts w:ascii="Times New Roman" w:cs="Times New Roman" w:eastAsia="Times New Roman" w:hAnsi="Times New Roman"/>
                <w:sz w:val="25"/>
                <w:szCs w:val="25"/>
                <w:b w:val="1"/>
                <w:bCs w:val="1"/>
                <w:color w:val="auto"/>
                <w:w w:val="89"/>
                <w:vertAlign w:val="superscript"/>
              </w:rPr>
              <w:t>(1)</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80" w:type="dxa"/>
            <w:vAlign w:val="bottom"/>
          </w:tcPr>
          <w:p>
            <w:pPr>
              <w:spacing w:after="0"/>
              <w:rPr>
                <w:sz w:val="23"/>
                <w:szCs w:val="23"/>
                <w:color w:val="auto"/>
              </w:rPr>
            </w:pPr>
          </w:p>
        </w:tc>
        <w:tc>
          <w:tcPr>
            <w:tcW w:w="1420" w:type="dxa"/>
            <w:vAlign w:val="bottom"/>
          </w:tcPr>
          <w:p>
            <w:pPr>
              <w:jc w:val="right"/>
              <w:ind w:right="130"/>
              <w:spacing w:after="0" w:line="265" w:lineRule="exact"/>
              <w:rPr>
                <w:sz w:val="20"/>
                <w:szCs w:val="20"/>
                <w:color w:val="auto"/>
              </w:rPr>
            </w:pPr>
            <w:r>
              <w:rPr>
                <w:rFonts w:ascii="Times New Roman" w:cs="Times New Roman" w:eastAsia="Times New Roman" w:hAnsi="Times New Roman"/>
                <w:sz w:val="18"/>
                <w:szCs w:val="18"/>
                <w:b w:val="1"/>
                <w:bCs w:val="1"/>
                <w:color w:val="auto"/>
                <w:w w:val="97"/>
              </w:rPr>
              <w:t>Consolidated</w:t>
            </w:r>
            <w:r>
              <w:rPr>
                <w:rFonts w:ascii="Times New Roman" w:cs="Times New Roman" w:eastAsia="Times New Roman" w:hAnsi="Times New Roman"/>
                <w:sz w:val="25"/>
                <w:szCs w:val="25"/>
                <w:b w:val="1"/>
                <w:bCs w:val="1"/>
                <w:color w:val="auto"/>
                <w:w w:val="97"/>
                <w:vertAlign w:val="superscript"/>
              </w:rPr>
              <w:t>(1)</w:t>
            </w:r>
          </w:p>
        </w:tc>
      </w:tr>
      <w:tr>
        <w:trPr>
          <w:trHeight w:val="244"/>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1,723.6</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329.0</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1,213.6</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1,002.9</w:t>
            </w:r>
          </w:p>
        </w:tc>
      </w:tr>
      <w:tr>
        <w:trPr>
          <w:trHeight w:val="243"/>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614.4</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Finland and Scandinavia</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826.5</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Europe</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1,627.8</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America</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943.1</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Middle East and Algeria</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414.5</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143.4</w:t>
            </w:r>
          </w:p>
        </w:tc>
      </w:tr>
      <w:tr>
        <w:trPr>
          <w:trHeight w:val="27"/>
        </w:trPr>
        <w:tc>
          <w:tcPr>
            <w:tcW w:w="3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5,385.1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9,352.0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Major products: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Tractors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3,743.0</w:t>
            </w:r>
          </w:p>
        </w:tc>
        <w:tc>
          <w:tcPr>
            <w:tcW w:w="1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5,361.1</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Replacement parts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1,346.0</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1,113.5</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319.7</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equipment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305.7</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machinery</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906.1</w:t>
            </w:r>
          </w:p>
        </w:tc>
      </w:tr>
      <w:tr>
        <w:trPr>
          <w:trHeight w:val="237"/>
        </w:trPr>
        <w:tc>
          <w:tcPr>
            <w:tcW w:w="37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2,180.1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5,385.1</w:t>
            </w:r>
          </w:p>
        </w:tc>
        <w:tc>
          <w:tcPr>
            <w:tcW w:w="100" w:type="dxa"/>
            <w:vAlign w:val="bottom"/>
          </w:tcPr>
          <w:p>
            <w:pPr>
              <w:spacing w:after="0"/>
              <w:rPr>
                <w:sz w:val="20"/>
                <w:szCs w:val="20"/>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9,352.0</w:t>
            </w:r>
          </w:p>
        </w:tc>
      </w:tr>
      <w:tr>
        <w:trPr>
          <w:trHeight w:val="27"/>
        </w:trPr>
        <w:tc>
          <w:tcPr>
            <w:tcW w:w="3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17"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Rounding may impact summation of amounts.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year ended December 31, 2017 disaggregated by primary geographical markets and major products consisted of the following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65"/>
        </w:trPr>
        <w:tc>
          <w:tcPr>
            <w:tcW w:w="3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300"/>
              <w:spacing w:after="0" w:line="265" w:lineRule="exact"/>
              <w:rPr>
                <w:sz w:val="20"/>
                <w:szCs w:val="20"/>
                <w:color w:val="auto"/>
              </w:rPr>
            </w:pPr>
            <w:r>
              <w:rPr>
                <w:rFonts w:ascii="Times New Roman" w:cs="Times New Roman" w:eastAsia="Times New Roman" w:hAnsi="Times New Roman"/>
                <w:sz w:val="18"/>
                <w:szCs w:val="18"/>
                <w:b w:val="1"/>
                <w:bCs w:val="1"/>
                <w:color w:val="auto"/>
                <w:w w:val="93"/>
              </w:rPr>
              <w:t>America</w:t>
            </w:r>
            <w:r>
              <w:rPr>
                <w:rFonts w:ascii="Times New Roman" w:cs="Times New Roman" w:eastAsia="Times New Roman" w:hAnsi="Times New Roman"/>
                <w:sz w:val="25"/>
                <w:szCs w:val="25"/>
                <w:b w:val="1"/>
                <w:bCs w:val="1"/>
                <w:color w:val="auto"/>
                <w:w w:val="93"/>
                <w:vertAlign w:val="superscript"/>
              </w:rPr>
              <w:t>(1)</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4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760" w:type="dxa"/>
            <w:vAlign w:val="bottom"/>
            <w:gridSpan w:val="3"/>
          </w:tcPr>
          <w:p>
            <w:pPr>
              <w:ind w:left="40"/>
              <w:spacing w:after="0" w:line="265" w:lineRule="exact"/>
              <w:rPr>
                <w:sz w:val="20"/>
                <w:szCs w:val="20"/>
                <w:color w:val="auto"/>
              </w:rPr>
            </w:pPr>
            <w:r>
              <w:rPr>
                <w:rFonts w:ascii="Times New Roman" w:cs="Times New Roman" w:eastAsia="Times New Roman" w:hAnsi="Times New Roman"/>
                <w:sz w:val="18"/>
                <w:szCs w:val="18"/>
                <w:b w:val="1"/>
                <w:bCs w:val="1"/>
                <w:color w:val="auto"/>
              </w:rPr>
              <w:t>Asia/Pacific/Africa</w:t>
            </w:r>
            <w:r>
              <w:rPr>
                <w:rFonts w:ascii="Times New Roman" w:cs="Times New Roman" w:eastAsia="Times New Roman" w:hAnsi="Times New Roman"/>
                <w:sz w:val="25"/>
                <w:szCs w:val="25"/>
                <w:b w:val="1"/>
                <w:bCs w:val="1"/>
                <w:color w:val="auto"/>
                <w:vertAlign w:val="superscript"/>
              </w:rPr>
              <w:t>(1)</w:t>
            </w:r>
          </w:p>
        </w:tc>
        <w:tc>
          <w:tcPr>
            <w:tcW w:w="200" w:type="dxa"/>
            <w:vAlign w:val="bottom"/>
          </w:tcPr>
          <w:p>
            <w:pPr>
              <w:spacing w:after="0"/>
              <w:rPr>
                <w:sz w:val="23"/>
                <w:szCs w:val="23"/>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44"/>
        </w:trPr>
        <w:tc>
          <w:tcPr>
            <w:tcW w:w="3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1,445.7</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296.9</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997.4</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815.7</w:t>
            </w:r>
          </w:p>
        </w:tc>
      </w:tr>
      <w:tr>
        <w:trPr>
          <w:trHeight w:val="243"/>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Finland and Scandinavia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721.3</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Europe</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1,396.0</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1,039.2</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Middle East and Algeria</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366.4</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247.4</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w:t>
            </w:r>
          </w:p>
        </w:tc>
      </w:tr>
      <w:tr>
        <w:trPr>
          <w:trHeight w:val="27"/>
        </w:trPr>
        <w:tc>
          <w:tcPr>
            <w:tcW w:w="3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4,614.3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8,306.5</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Major products: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Tractors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3,149.7</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4,785.2</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Replacement parts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1,305.0</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1,049.6</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349.0</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equipment</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235.2</w:t>
            </w:r>
          </w:p>
        </w:tc>
      </w:tr>
      <w:tr>
        <w:trPr>
          <w:trHeight w:val="27"/>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machinery</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582.5</w:t>
            </w:r>
          </w:p>
        </w:tc>
      </w:tr>
      <w:tr>
        <w:trPr>
          <w:trHeight w:val="237"/>
        </w:trPr>
        <w:tc>
          <w:tcPr>
            <w:tcW w:w="36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1,876.7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4,614.3</w:t>
            </w:r>
          </w:p>
        </w:tc>
        <w:tc>
          <w:tcPr>
            <w:tcW w:w="100" w:type="dxa"/>
            <w:vAlign w:val="bottom"/>
          </w:tcPr>
          <w:p>
            <w:pPr>
              <w:spacing w:after="0"/>
              <w:rPr>
                <w:sz w:val="20"/>
                <w:szCs w:val="20"/>
                <w:color w:val="auto"/>
              </w:rPr>
            </w:pPr>
          </w:p>
        </w:tc>
        <w:tc>
          <w:tcPr>
            <w:tcW w:w="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8,306.5</w:t>
            </w:r>
          </w:p>
        </w:tc>
      </w:tr>
      <w:tr>
        <w:trPr>
          <w:trHeight w:val="27"/>
        </w:trPr>
        <w:tc>
          <w:tcPr>
            <w:tcW w:w="3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1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Rounding may impact summation of amounts.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year ended December 31, 2016 disaggregated by primary geographical markets and major products consisted of the following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65"/>
        </w:trPr>
        <w:tc>
          <w:tcPr>
            <w:tcW w:w="3700" w:type="dxa"/>
            <w:vAlign w:val="bottom"/>
          </w:tcPr>
          <w:p>
            <w:pPr>
              <w:spacing w:after="0"/>
              <w:rPr>
                <w:sz w:val="23"/>
                <w:szCs w:val="23"/>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80" w:type="dxa"/>
            <w:vAlign w:val="bottom"/>
            <w:gridSpan w:val="3"/>
          </w:tcPr>
          <w:p>
            <w:pPr>
              <w:ind w:left="40"/>
              <w:spacing w:after="0" w:line="265" w:lineRule="exact"/>
              <w:rPr>
                <w:sz w:val="20"/>
                <w:szCs w:val="20"/>
                <w:color w:val="auto"/>
              </w:rPr>
            </w:pPr>
            <w:r>
              <w:rPr>
                <w:rFonts w:ascii="Times New Roman" w:cs="Times New Roman" w:eastAsia="Times New Roman" w:hAnsi="Times New Roman"/>
                <w:sz w:val="18"/>
                <w:szCs w:val="18"/>
                <w:b w:val="1"/>
                <w:bCs w:val="1"/>
                <w:color w:val="auto"/>
              </w:rPr>
              <w:t>South America</w:t>
            </w:r>
            <w:r>
              <w:rPr>
                <w:rFonts w:ascii="Times New Roman" w:cs="Times New Roman" w:eastAsia="Times New Roman" w:hAnsi="Times New Roman"/>
                <w:sz w:val="25"/>
                <w:szCs w:val="25"/>
                <w:b w:val="1"/>
                <w:bCs w:val="1"/>
                <w:color w:val="auto"/>
                <w:vertAlign w:val="superscript"/>
              </w:rPr>
              <w:t>(1)</w:t>
            </w:r>
          </w:p>
        </w:tc>
        <w:tc>
          <w:tcPr>
            <w:tcW w:w="140" w:type="dxa"/>
            <w:vAlign w:val="bottom"/>
          </w:tcPr>
          <w:p>
            <w:pPr>
              <w:spacing w:after="0"/>
              <w:rPr>
                <w:sz w:val="23"/>
                <w:szCs w:val="23"/>
                <w:color w:val="auto"/>
              </w:rPr>
            </w:pPr>
          </w:p>
        </w:tc>
        <w:tc>
          <w:tcPr>
            <w:tcW w:w="1440" w:type="dxa"/>
            <w:vAlign w:val="bottom"/>
            <w:gridSpan w:val="2"/>
          </w:tcPr>
          <w:p>
            <w:pPr>
              <w:jc w:val="center"/>
              <w:ind w:right="240"/>
              <w:spacing w:after="0" w:line="265" w:lineRule="exact"/>
              <w:rPr>
                <w:sz w:val="20"/>
                <w:szCs w:val="20"/>
                <w:color w:val="auto"/>
              </w:rPr>
            </w:pPr>
            <w:r>
              <w:rPr>
                <w:rFonts w:ascii="Times New Roman" w:cs="Times New Roman" w:eastAsia="Times New Roman" w:hAnsi="Times New Roman"/>
                <w:sz w:val="18"/>
                <w:szCs w:val="18"/>
                <w:b w:val="1"/>
                <w:bCs w:val="1"/>
                <w:color w:val="auto"/>
                <w:w w:val="89"/>
              </w:rPr>
              <w:t>East</w:t>
            </w:r>
            <w:r>
              <w:rPr>
                <w:rFonts w:ascii="Times New Roman" w:cs="Times New Roman" w:eastAsia="Times New Roman" w:hAnsi="Times New Roman"/>
                <w:sz w:val="25"/>
                <w:szCs w:val="25"/>
                <w:b w:val="1"/>
                <w:bCs w:val="1"/>
                <w:color w:val="auto"/>
                <w:w w:val="89"/>
                <w:vertAlign w:val="superscript"/>
              </w:rPr>
              <w:t>(1)</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220" w:type="dxa"/>
            <w:vAlign w:val="bottom"/>
          </w:tcPr>
          <w:p>
            <w:pPr>
              <w:spacing w:after="0"/>
              <w:rPr>
                <w:sz w:val="23"/>
                <w:szCs w:val="23"/>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44"/>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1,404.6</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286.7</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891.2</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746.9</w:t>
            </w:r>
          </w:p>
        </w:tc>
      </w:tr>
      <w:tr>
        <w:trPr>
          <w:trHeight w:val="243"/>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440.7</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Finland and Scandinavia</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677.7</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Europe</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1,127.9</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America</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893.9</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Middle East and Algeria</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205.4</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w:t>
            </w:r>
          </w:p>
        </w:tc>
        <w:tc>
          <w:tcPr>
            <w:tcW w:w="4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266.8</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139.9</w:t>
            </w:r>
          </w:p>
        </w:tc>
      </w:tr>
      <w:tr>
        <w:trPr>
          <w:trHeight w:val="27"/>
        </w:trPr>
        <w:tc>
          <w:tcPr>
            <w:tcW w:w="3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4,089.7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7,410.5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Major products: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Tractors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2,846.4</w:t>
            </w:r>
          </w:p>
        </w:tc>
        <w:tc>
          <w:tcPr>
            <w:tcW w:w="1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4,225.1</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Replacement parts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1,211.3</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892.5</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302.8</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equipment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257.2</w:t>
            </w:r>
          </w:p>
        </w:tc>
      </w:tr>
      <w:tr>
        <w:trPr>
          <w:trHeight w:val="27"/>
        </w:trPr>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machinery</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521.6</w:t>
            </w:r>
          </w:p>
        </w:tc>
      </w:tr>
      <w:tr>
        <w:trPr>
          <w:trHeight w:val="237"/>
        </w:trPr>
        <w:tc>
          <w:tcPr>
            <w:tcW w:w="37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1,807.7</w:t>
            </w:r>
          </w:p>
        </w:tc>
        <w:tc>
          <w:tcPr>
            <w:tcW w:w="100" w:type="dxa"/>
            <w:vAlign w:val="bottom"/>
          </w:tcPr>
          <w:p>
            <w:pPr>
              <w:spacing w:after="0"/>
              <w:rPr>
                <w:sz w:val="20"/>
                <w:szCs w:val="20"/>
                <w:color w:val="auto"/>
              </w:rPr>
            </w:pPr>
          </w:p>
        </w:tc>
        <w:tc>
          <w:tcPr>
            <w:tcW w:w="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4,089.7</w:t>
            </w:r>
          </w:p>
        </w:tc>
        <w:tc>
          <w:tcPr>
            <w:tcW w:w="100" w:type="dxa"/>
            <w:vAlign w:val="bottom"/>
          </w:tcPr>
          <w:p>
            <w:pPr>
              <w:spacing w:after="0"/>
              <w:rPr>
                <w:sz w:val="20"/>
                <w:szCs w:val="20"/>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7,410.5</w:t>
            </w:r>
          </w:p>
        </w:tc>
      </w:tr>
      <w:tr>
        <w:trPr>
          <w:trHeight w:val="27"/>
        </w:trPr>
        <w:tc>
          <w:tcPr>
            <w:tcW w:w="3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1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Rounding may impact summation of amounts.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does not expect that the Company’s disclosure controls or the Company’s internal controls will prevent all errors and all fraud. However, our principal executive officer and principal financial officer have concluded the Company’s disclosure controls and procedures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 cost effective control system, misstatements due to error or fraud may occur and not be detected. We will conduct periodic evaluations of our internal controls to enhance, where necessary, our procedures and controls.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Rule 13a-15(e) under the Securities Exchange Act of 1934, as amended) as of December 31, 2018, have concluded that, as of such date, our disclosure controls and procedures were effective at the reasonable assurance level.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as defined in Rule 13a-15(f) under the Securities Exchange Act of 1934. The Company’s internal control over financial reporting is designed to provide reasonable assurance to the Company’s management and Board of Directors regarding the preparation and fair presentation of published financial statements for external purposes in accordance with generally accepted accounting principles. In assessing the effectiveness of the Company’s internal control over financial reporting,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w:t>
      </w:r>
    </w:p>
    <w:p>
      <w:pPr>
        <w:spacing w:after="0" w:line="18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2018. Based on this assessment, management believes that, as of December 31, 2018, the Company’s internal control over financial reporting is effective based on the criteria referred to above.</w:t>
      </w:r>
    </w:p>
    <w:p>
      <w:pPr>
        <w:spacing w:after="0" w:line="176" w:lineRule="exact"/>
        <w:rPr>
          <w:sz w:val="20"/>
          <w:szCs w:val="20"/>
          <w:color w:val="auto"/>
        </w:rPr>
      </w:pPr>
    </w:p>
    <w:p>
      <w:pPr>
        <w:ind w:right="760"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2018 has been audited by KPMG LLP, an independent registered public accounting firm, which also audited the Company’s Consolidated Financial Statements as of and for the year ended December 31, 2018. KPMG LLP’s report on internal control over financial reporting is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 However, as a result of the Company’s processes to comply with the Sarbanes-Oxley Act of 2002, enhancements to the Company’s internal control over financial reporting were implemented as management addressed and remediated deficiencies that had been identified.</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80"/>
          </w:cols>
          <w:pgMar w:left="240" w:top="121" w:right="27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AGCO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AGCO Corporation and subsidiaries’ (the Company) internal control over financial reporting as of December 31, 2018,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(loss), stockholders’ equity, and cash flows for each of the years in the three-year period ended December 31, 2018, and the related notes and financial statement schedule (collectively, the consolidated financial statements), and our report dated March 1, 2019 expressed an unqualified opinion on those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60"/>
          </w:cols>
          <w:pgMar w:left="240" w:top="121" w:right="29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5"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Items 10, 11, 12, 13 and 14, if any, will be contained in our Proxy Statement for the 2019 Annual Meeting of Stockholders, which we intend to file in March 2019.</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information with respect to directors and committees required by this Item set forth in our Proxy Statement for the 2019 Annual Meeting of Stockholders in the sections entitled Proposal Number 1 “Election of Directors” and “Board of Directors and Corporate Governance” is incorporated herein by reference. The information with respect to executive officers required by this Item set forth in our Proxy Statement for the 2019 Annual Meeting of Stockholders in the sections entitled “Executive Compensation” and “Section 16(a) Beneficial Ownership Reporting Compliance” is incorporated herein by reference.</w:t>
      </w:r>
    </w:p>
    <w:p>
      <w:pPr>
        <w:spacing w:after="0" w:line="184"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See the information under the heading “Available Information” set forth in Part I of this Form 10-K. The code of conduct referenced therein applies to our principal executive officer, principal financial officer, principal accounting officer and controller and the persons performing similar functions.</w:t>
      </w:r>
    </w:p>
    <w:p>
      <w:pPr>
        <w:spacing w:after="0" w:line="13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information with respect to executive compensation and its establishment required by this Item set forth in our Proxy Statement for the 2019 Annual Meeting of Stockholders in the sections entitled “Board of Directors and Corporate Governance,” “2018 CEO Pay Ratio,” “Executive Compensation” and “Compensation Committee Report” is incorporated herein by reference.</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Securities Authorized for Issuance Under Equity Compensation Plans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AGCO maintains its Plan pursuant to which we may grant equity awards to eligible persons. For additional information, see Note 10, “Stock Incentive Plan,” in the Notes to Consolidated Financial Statements included in this filing. The following table gives information about equity awards under our Plan.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w:t>
            </w: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33"/>
        </w:trPr>
        <w:tc>
          <w:tcPr>
            <w:tcW w:w="1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07"/>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203"/>
        </w:trPr>
        <w:tc>
          <w:tcPr>
            <w:tcW w:w="1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24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Available for Future</w:t>
            </w:r>
          </w:p>
        </w:tc>
      </w:tr>
      <w:tr>
        <w:trPr>
          <w:trHeight w:val="203"/>
        </w:trPr>
        <w:tc>
          <w:tcPr>
            <w:tcW w:w="1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 be Issued</w:t>
            </w:r>
          </w:p>
        </w:tc>
        <w:tc>
          <w:tcPr>
            <w:tcW w:w="24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 Under Equity</w:t>
            </w:r>
          </w:p>
        </w:tc>
      </w:tr>
      <w:tr>
        <w:trPr>
          <w:trHeight w:val="203"/>
        </w:trPr>
        <w:tc>
          <w:tcPr>
            <w:tcW w:w="1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upon Exercise</w:t>
            </w:r>
          </w:p>
        </w:tc>
        <w:tc>
          <w:tcPr>
            <w:tcW w:w="24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 Outstanding</w:t>
            </w: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Plans</w:t>
            </w:r>
          </w:p>
        </w:tc>
      </w:tr>
      <w:tr>
        <w:trPr>
          <w:trHeight w:val="203"/>
        </w:trPr>
        <w:tc>
          <w:tcPr>
            <w:tcW w:w="1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Outstanding</w:t>
            </w:r>
          </w:p>
        </w:tc>
        <w:tc>
          <w:tcPr>
            <w:tcW w:w="24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Awards Under</w:t>
            </w: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w:t>
            </w:r>
          </w:p>
        </w:tc>
      </w:tr>
      <w:tr>
        <w:trPr>
          <w:trHeight w:val="178"/>
        </w:trPr>
        <w:tc>
          <w:tcPr>
            <w:tcW w:w="40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Plan Category</w:t>
            </w:r>
          </w:p>
        </w:tc>
        <w:tc>
          <w:tcPr>
            <w:tcW w:w="218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Awards Under the Plans</w:t>
            </w:r>
          </w:p>
        </w:tc>
        <w:tc>
          <w:tcPr>
            <w:tcW w:w="240" w:type="dxa"/>
            <w:vAlign w:val="bottom"/>
          </w:tcPr>
          <w:p>
            <w:pPr>
              <w:spacing w:after="0"/>
              <w:rPr>
                <w:sz w:val="15"/>
                <w:szCs w:val="15"/>
                <w:color w:val="auto"/>
              </w:rPr>
            </w:pPr>
          </w:p>
        </w:tc>
        <w:tc>
          <w:tcPr>
            <w:tcW w:w="1920" w:type="dxa"/>
            <w:vAlign w:val="bottom"/>
            <w:gridSpan w:val="2"/>
          </w:tcPr>
          <w:p>
            <w:pPr>
              <w:jc w:val="center"/>
              <w:ind w:right="360"/>
              <w:spacing w:after="0" w:line="178" w:lineRule="exact"/>
              <w:rPr>
                <w:sz w:val="20"/>
                <w:szCs w:val="20"/>
                <w:color w:val="auto"/>
              </w:rPr>
            </w:pPr>
            <w:r>
              <w:rPr>
                <w:rFonts w:ascii="Times New Roman" w:cs="Times New Roman" w:eastAsia="Times New Roman" w:hAnsi="Times New Roman"/>
                <w:sz w:val="16"/>
                <w:szCs w:val="16"/>
                <w:b w:val="1"/>
                <w:bCs w:val="1"/>
                <w:color w:val="auto"/>
              </w:rPr>
              <w:t>the Plans</w:t>
            </w:r>
          </w:p>
        </w:tc>
        <w:tc>
          <w:tcPr>
            <w:tcW w:w="306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in Column (a)</w:t>
            </w:r>
          </w:p>
        </w:tc>
      </w:tr>
      <w:tr>
        <w:trPr>
          <w:trHeight w:val="48"/>
        </w:trPr>
        <w:tc>
          <w:tcPr>
            <w:tcW w:w="1000" w:type="dxa"/>
            <w:vAlign w:val="bottom"/>
            <w:tcBorders>
              <w:top w:val="single" w:sz="8" w:color="auto"/>
              <w:bottom w:val="single" w:sz="8" w:color="CCEEFF"/>
            </w:tcBorders>
          </w:tcPr>
          <w:p>
            <w:pPr>
              <w:spacing w:after="0"/>
              <w:rPr>
                <w:sz w:val="4"/>
                <w:szCs w:val="4"/>
                <w:color w:val="auto"/>
              </w:rPr>
            </w:pPr>
          </w:p>
        </w:tc>
        <w:tc>
          <w:tcPr>
            <w:tcW w:w="302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r>
      <w:tr>
        <w:trPr>
          <w:trHeight w:val="205"/>
        </w:trPr>
        <w:tc>
          <w:tcPr>
            <w:tcW w:w="4020" w:type="dxa"/>
            <w:vAlign w:val="bottom"/>
            <w:gridSpan w:val="2"/>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r>
      <w:tr>
        <w:trPr>
          <w:trHeight w:val="241"/>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holders</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2,391,429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3,436,426</w:t>
            </w:r>
          </w:p>
        </w:tc>
      </w:tr>
      <w:tr>
        <w:trPr>
          <w:trHeight w:val="22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4"/>
        </w:trPr>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holders</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2,391,429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3,436,426</w:t>
            </w:r>
          </w:p>
        </w:tc>
      </w:tr>
      <w:tr>
        <w:trPr>
          <w:trHeight w:val="20"/>
        </w:trPr>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Security Ownership of Certain Beneficial Owners and Management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set forth in our Proxy Statement for the 2019 Annual Meeting of Stockholders in the section entitled “Principal Holders of Common Stock” is incorporated herein by reference.</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Party Transactions, and Director Independence</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set forth in our Proxy Statement for the 2019 Annual Meeting of Stockholders in the section entitled “Certain Relationships and Related Party Transactions” is incorporated herein by reference.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set forth in our 2019 Proxy Statement for the Annual Meeting of Stockholders in the sections entitled “Audit Committee Report” and “Board of Directors and Corporate Governance”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following documents are filed as part of this Form 10-K:</w:t>
      </w:r>
    </w:p>
    <w:p>
      <w:pPr>
        <w:spacing w:after="0" w:line="131" w:lineRule="exact"/>
        <w:rPr>
          <w:sz w:val="20"/>
          <w:szCs w:val="20"/>
          <w:color w:val="auto"/>
        </w:rPr>
      </w:pPr>
    </w:p>
    <w:p>
      <w:pPr>
        <w:ind w:right="200" w:firstLine="332"/>
        <w:spacing w:after="0" w:line="282" w:lineRule="auto"/>
        <w:tabs>
          <w:tab w:leader="none" w:pos="5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Notes to Consolidated Financial Statements, Report of Independent Registered Public Accounting Firm for AGCO Corporation and its subsidiaries are presented under Item 8 of this Form 10-K.</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of AGCO Corporation and its subsidiaries is included herein and follows this report.</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9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Valuation and Qualifying Accounts</w:t>
            </w:r>
          </w:p>
        </w:tc>
      </w:tr>
    </w:tbl>
    <w:p>
      <w:pPr>
        <w:spacing w:after="0" w:line="13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Schedules other than that listed above have been omitted because the required information is contained in Notes to the Consolidated Financial Statements or because such schedules are not required or are not applicable.</w:t>
      </w:r>
    </w:p>
    <w:p>
      <w:pPr>
        <w:spacing w:after="0" w:line="67" w:lineRule="exact"/>
        <w:rPr>
          <w:sz w:val="20"/>
          <w:szCs w:val="20"/>
          <w:color w:val="auto"/>
        </w:rPr>
      </w:pPr>
    </w:p>
    <w:p>
      <w:pPr>
        <w:ind w:right="220" w:firstLine="332"/>
        <w:spacing w:after="0" w:line="266" w:lineRule="auto"/>
        <w:tabs>
          <w:tab w:leader="none" w:pos="5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or incorporated by reference as part of this report. Each management contract or compensation plan required to be filed as an exhibit is identified by an asterisk (*). The exhibits below may not include all instruments defining the rights of holders of long-term debt where the debt does not exceed 10% of the Company’s total assets. The Company agrees to furnish copies of those instruments to the Commission upon request.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Filings Referenced for</w:t>
            </w:r>
          </w:p>
        </w:tc>
      </w:tr>
      <w:tr>
        <w:trPr>
          <w:trHeight w:val="216"/>
        </w:trPr>
        <w:tc>
          <w:tcPr>
            <w:tcW w:w="12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by Reference are</w:t>
            </w:r>
          </w:p>
        </w:tc>
      </w:tr>
      <w:tr>
        <w:trPr>
          <w:trHeight w:val="238"/>
        </w:trPr>
        <w:tc>
          <w:tcPr>
            <w:tcW w:w="12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80" w:type="dxa"/>
            <w:vAlign w:val="bottom"/>
            <w:gridSpan w:val="14"/>
          </w:tcPr>
          <w:p>
            <w:pPr>
              <w:ind w:left="11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AGCO Corporation</w:t>
            </w:r>
          </w:p>
        </w:tc>
      </w:tr>
      <w:tr>
        <w:trPr>
          <w:trHeight w:val="27"/>
        </w:trPr>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196"/>
        </w:trPr>
        <w:tc>
          <w:tcPr>
            <w:tcW w:w="460" w:type="dxa"/>
            <w:vAlign w:val="bottom"/>
            <w:gridSpan w:val="3"/>
          </w:tcPr>
          <w:p>
            <w:pPr>
              <w:spacing w:after="0"/>
              <w:rPr>
                <w:sz w:val="17"/>
                <w:szCs w:val="17"/>
                <w:color w:val="auto"/>
              </w:rPr>
            </w:pPr>
          </w:p>
        </w:tc>
        <w:tc>
          <w:tcPr>
            <w:tcW w:w="240" w:type="dxa"/>
            <w:vAlign w:val="bottom"/>
          </w:tcPr>
          <w:p>
            <w:pPr>
              <w:jc w:val="cente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16"/>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Certificate of Incorporation</w:t>
              </w:r>
            </w:hyperlink>
          </w:p>
        </w:tc>
        <w:tc>
          <w:tcPr>
            <w:tcW w:w="4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June 30, 2002, Form 10-Q, Exhibit 3.1</w:t>
            </w:r>
          </w:p>
        </w:tc>
      </w:tr>
      <w:tr>
        <w:trPr>
          <w:trHeight w:val="250"/>
        </w:trPr>
        <w:tc>
          <w:tcPr>
            <w:tcW w:w="460" w:type="dxa"/>
            <w:vAlign w:val="bottom"/>
            <w:gridSpan w:val="3"/>
          </w:tcPr>
          <w:p>
            <w:pPr>
              <w:spacing w:after="0"/>
              <w:rPr>
                <w:sz w:val="21"/>
                <w:szCs w:val="21"/>
                <w:color w:val="auto"/>
              </w:rPr>
            </w:pPr>
          </w:p>
        </w:tc>
        <w:tc>
          <w:tcPr>
            <w:tcW w:w="240" w:type="dxa"/>
            <w:vAlign w:val="bottom"/>
            <w:tcBorders>
              <w:top w:val="single" w:sz="8" w:color="0000FF"/>
            </w:tcBorders>
          </w:tcPr>
          <w:p>
            <w:pPr>
              <w:jc w:val="cente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8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By-Laws</w:t>
              </w:r>
            </w:hyperlink>
          </w:p>
        </w:tc>
        <w:tc>
          <w:tcPr>
            <w:tcW w:w="3360" w:type="dxa"/>
            <w:vAlign w:val="bottom"/>
            <w:gridSpan w:val="13"/>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10, 2014, Form 8-K, Exhibit 3.1</w:t>
            </w: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420" w:type="dxa"/>
            <w:vAlign w:val="bottom"/>
            <w:gridSpan w:val="2"/>
          </w:tcPr>
          <w:p>
            <w:pPr>
              <w:spacing w:after="0"/>
              <w:rPr>
                <w:sz w:val="21"/>
                <w:szCs w:val="21"/>
                <w:color w:val="auto"/>
              </w:rPr>
            </w:pPr>
          </w:p>
        </w:tc>
        <w:tc>
          <w:tcPr>
            <w:tcW w:w="32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2006</w:t>
              </w:r>
            </w:hyperlink>
          </w:p>
        </w:tc>
        <w:tc>
          <w:tcPr>
            <w:tcW w:w="2020" w:type="dxa"/>
            <w:vAlign w:val="bottom"/>
            <w:tcBorders>
              <w:bottom w:val="single" w:sz="8" w:color="0000FF"/>
            </w:tcBorders>
            <w:gridSpan w:val="3"/>
          </w:tcPr>
          <w:p>
            <w:pPr>
              <w:ind w:left="20"/>
              <w:spacing w:after="0"/>
              <w:rPr>
                <w:rFonts w:ascii="Times New Roman" w:cs="Times New Roman" w:eastAsia="Times New Roman" w:hAnsi="Times New Roman"/>
                <w:sz w:val="18"/>
                <w:szCs w:val="18"/>
                <w:color w:val="0000FF"/>
                <w:w w:val="98"/>
              </w:rPr>
            </w:pPr>
            <w:hyperlink r:id="rId37">
              <w:r>
                <w:rPr>
                  <w:rFonts w:ascii="Times New Roman" w:cs="Times New Roman" w:eastAsia="Times New Roman" w:hAnsi="Times New Roman"/>
                  <w:sz w:val="18"/>
                  <w:szCs w:val="18"/>
                  <w:color w:val="0000FF"/>
                  <w:w w:val="98"/>
                </w:rPr>
                <w:t>Long-Term Incentive Plan*</w:t>
              </w:r>
            </w:hyperlink>
          </w:p>
        </w:tc>
        <w:tc>
          <w:tcPr>
            <w:tcW w:w="2940" w:type="dxa"/>
            <w:vAlign w:val="bottom"/>
            <w:gridSpan w:val="12"/>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2017, Form 10-Q, Exhibit 10.5</w:t>
            </w:r>
          </w:p>
        </w:tc>
      </w:tr>
      <w:tr>
        <w:trPr>
          <w:trHeight w:val="250"/>
        </w:trPr>
        <w:tc>
          <w:tcPr>
            <w:tcW w:w="420" w:type="dxa"/>
            <w:vAlign w:val="bottom"/>
            <w:gridSpan w:val="2"/>
          </w:tcPr>
          <w:p>
            <w:pPr>
              <w:spacing w:after="0"/>
              <w:rPr>
                <w:sz w:val="21"/>
                <w:szCs w:val="21"/>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2006</w:t>
              </w:r>
            </w:hyperlink>
          </w:p>
        </w:tc>
        <w:tc>
          <w:tcPr>
            <w:tcW w:w="4960" w:type="dxa"/>
            <w:vAlign w:val="bottom"/>
            <w:gridSpan w:val="15"/>
          </w:tcPr>
          <w:p>
            <w:pPr>
              <w:ind w:left="20"/>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of Non-Qualified Stock Option Award Agreement*</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2006, Form 10-Q, Exhibit 10.2</w:t>
            </w:r>
          </w:p>
        </w:tc>
      </w:tr>
      <w:tr>
        <w:trPr>
          <w:trHeight w:val="250"/>
        </w:trPr>
        <w:tc>
          <w:tcPr>
            <w:tcW w:w="420" w:type="dxa"/>
            <w:vAlign w:val="bottom"/>
            <w:gridSpan w:val="2"/>
          </w:tcPr>
          <w:p>
            <w:pPr>
              <w:spacing w:after="0"/>
              <w:rPr>
                <w:sz w:val="21"/>
                <w:szCs w:val="21"/>
                <w:color w:val="auto"/>
              </w:rPr>
            </w:pPr>
          </w:p>
        </w:tc>
        <w:tc>
          <w:tcPr>
            <w:tcW w:w="320" w:type="dxa"/>
            <w:vAlign w:val="bottom"/>
            <w:tcBorders>
              <w:top w:val="single" w:sz="8" w:color="0000FF"/>
            </w:tcBorders>
            <w:gridSpan w:val="3"/>
          </w:tcPr>
          <w:p>
            <w:pPr>
              <w:jc w:val="cente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top w:val="single" w:sz="8" w:color="0000FF"/>
            </w:tcBorders>
          </w:tcPr>
          <w:p>
            <w:pPr>
              <w:spacing w:after="0"/>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2006</w:t>
              </w:r>
            </w:hyperlink>
          </w:p>
        </w:tc>
        <w:tc>
          <w:tcPr>
            <w:tcW w:w="4160" w:type="dxa"/>
            <w:vAlign w:val="bottom"/>
            <w:tcBorders>
              <w:top w:val="single" w:sz="8" w:color="0000FF"/>
            </w:tcBorders>
            <w:gridSpan w:val="11"/>
          </w:tcPr>
          <w:p>
            <w:pPr>
              <w:ind w:left="20"/>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Form of Incentive Stock Option Award Agreement*</w:t>
              </w:r>
            </w:hyperlink>
          </w:p>
        </w:tc>
        <w:tc>
          <w:tcPr>
            <w:tcW w:w="800" w:type="dxa"/>
            <w:vAlign w:val="bottom"/>
            <w:gridSpan w:val="4"/>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2006, Form 10-Q, Exhibit 10.3</w:t>
            </w:r>
          </w:p>
        </w:tc>
      </w:tr>
      <w:tr>
        <w:trPr>
          <w:trHeight w:val="250"/>
        </w:trPr>
        <w:tc>
          <w:tcPr>
            <w:tcW w:w="420" w:type="dxa"/>
            <w:vAlign w:val="bottom"/>
            <w:gridSpan w:val="2"/>
          </w:tcPr>
          <w:p>
            <w:pPr>
              <w:spacing w:after="0"/>
              <w:rPr>
                <w:sz w:val="21"/>
                <w:szCs w:val="21"/>
                <w:color w:val="auto"/>
              </w:rPr>
            </w:pPr>
          </w:p>
        </w:tc>
        <w:tc>
          <w:tcPr>
            <w:tcW w:w="320" w:type="dxa"/>
            <w:vAlign w:val="bottom"/>
            <w:tcBorders>
              <w:top w:val="single" w:sz="8" w:color="0000FF"/>
            </w:tcBorders>
            <w:gridSpan w:val="3"/>
          </w:tcPr>
          <w:p>
            <w:pPr>
              <w:jc w:val="cente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top w:val="single" w:sz="8" w:color="0000FF"/>
            </w:tcBorders>
          </w:tcPr>
          <w:p>
            <w:pPr>
              <w:spacing w:after="0"/>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2006</w:t>
              </w:r>
            </w:hyperlink>
          </w:p>
        </w:tc>
        <w:tc>
          <w:tcPr>
            <w:tcW w:w="3780" w:type="dxa"/>
            <w:vAlign w:val="bottom"/>
            <w:tcBorders>
              <w:top w:val="single" w:sz="8" w:color="0000FF"/>
            </w:tcBorders>
            <w:gridSpan w:val="9"/>
          </w:tcPr>
          <w:p>
            <w:pPr>
              <w:ind w:left="20"/>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Form of Stock Appreciation Rights Agreement*</w:t>
              </w:r>
            </w:hyperlink>
          </w:p>
        </w:tc>
        <w:tc>
          <w:tcPr>
            <w:tcW w:w="1180" w:type="dxa"/>
            <w:vAlign w:val="bottom"/>
            <w:gridSpan w:val="6"/>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2006, Form 10-Q, Exhibit 10.4</w:t>
            </w: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420" w:type="dxa"/>
            <w:vAlign w:val="bottom"/>
            <w:gridSpan w:val="2"/>
          </w:tcPr>
          <w:p>
            <w:pPr>
              <w:spacing w:after="0"/>
              <w:rPr>
                <w:sz w:val="21"/>
                <w:szCs w:val="21"/>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2019</w:t>
              </w:r>
            </w:hyperlink>
          </w:p>
        </w:tc>
        <w:tc>
          <w:tcPr>
            <w:tcW w:w="4960" w:type="dxa"/>
            <w:vAlign w:val="bottom"/>
            <w:gridSpan w:val="15"/>
          </w:tcPr>
          <w:p>
            <w:pPr>
              <w:ind w:left="20"/>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of Stock Appreciation Rights Agreement*</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22, 2019, Form 8-K, Exhibit 10.2</w:t>
            </w:r>
          </w:p>
        </w:tc>
      </w:tr>
      <w:tr>
        <w:trPr>
          <w:trHeight w:val="250"/>
        </w:trPr>
        <w:tc>
          <w:tcPr>
            <w:tcW w:w="420" w:type="dxa"/>
            <w:vAlign w:val="bottom"/>
            <w:gridSpan w:val="2"/>
          </w:tcPr>
          <w:p>
            <w:pPr>
              <w:spacing w:after="0"/>
              <w:rPr>
                <w:sz w:val="21"/>
                <w:szCs w:val="21"/>
                <w:color w:val="auto"/>
              </w:rPr>
            </w:pPr>
          </w:p>
        </w:tc>
        <w:tc>
          <w:tcPr>
            <w:tcW w:w="320" w:type="dxa"/>
            <w:vAlign w:val="bottom"/>
            <w:tcBorders>
              <w:top w:val="single" w:sz="8" w:color="0000FF"/>
              <w:bottom w:val="single" w:sz="8" w:color="0000FF"/>
            </w:tcBorders>
            <w:gridSpan w:val="3"/>
          </w:tcPr>
          <w:p>
            <w:pPr>
              <w:jc w:val="cente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2016</w:t>
              </w:r>
            </w:hyperlink>
          </w:p>
        </w:tc>
        <w:tc>
          <w:tcPr>
            <w:tcW w:w="3220" w:type="dxa"/>
            <w:vAlign w:val="bottom"/>
            <w:tcBorders>
              <w:top w:val="single" w:sz="8" w:color="0000FF"/>
              <w:bottom w:val="single" w:sz="8" w:color="0000FF"/>
            </w:tcBorders>
            <w:gridSpan w:val="6"/>
          </w:tcPr>
          <w:p>
            <w:pPr>
              <w:ind w:left="20"/>
              <w:spacing w:after="0"/>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Form of Restricted Stock Units Agreement*</w:t>
              </w:r>
            </w:hyperlink>
          </w:p>
        </w:tc>
        <w:tc>
          <w:tcPr>
            <w:tcW w:w="280" w:type="dxa"/>
            <w:vAlign w:val="bottom"/>
            <w:tcBorders>
              <w:top w:val="single" w:sz="8" w:color="0000FF"/>
            </w:tcBorders>
            <w:gridSpan w:val="2"/>
          </w:tcPr>
          <w:p>
            <w:pPr>
              <w:spacing w:after="0"/>
              <w:rPr>
                <w:sz w:val="21"/>
                <w:szCs w:val="21"/>
                <w:color w:val="auto"/>
              </w:rPr>
            </w:pPr>
          </w:p>
        </w:tc>
        <w:tc>
          <w:tcPr>
            <w:tcW w:w="1460" w:type="dxa"/>
            <w:vAlign w:val="bottom"/>
            <w:gridSpan w:val="7"/>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27, 2016, Form 8-K, Exhibit 10.1</w:t>
            </w:r>
          </w:p>
        </w:tc>
      </w:tr>
      <w:tr>
        <w:trPr>
          <w:trHeight w:val="250"/>
        </w:trPr>
        <w:tc>
          <w:tcPr>
            <w:tcW w:w="420" w:type="dxa"/>
            <w:vAlign w:val="bottom"/>
            <w:gridSpan w:val="2"/>
          </w:tcPr>
          <w:p>
            <w:pPr>
              <w:spacing w:after="0"/>
              <w:rPr>
                <w:sz w:val="21"/>
                <w:szCs w:val="21"/>
                <w:color w:val="auto"/>
              </w:rPr>
            </w:pPr>
          </w:p>
        </w:tc>
        <w:tc>
          <w:tcPr>
            <w:tcW w:w="32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2018</w:t>
              </w:r>
            </w:hyperlink>
          </w:p>
        </w:tc>
        <w:tc>
          <w:tcPr>
            <w:tcW w:w="3220" w:type="dxa"/>
            <w:vAlign w:val="bottom"/>
            <w:tcBorders>
              <w:bottom w:val="single" w:sz="8" w:color="0000FF"/>
            </w:tcBorders>
            <w:gridSpan w:val="6"/>
          </w:tcPr>
          <w:p>
            <w:pPr>
              <w:ind w:left="20"/>
              <w:spacing w:after="0"/>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Form of Restricted Stock Units Agreement*</w:t>
              </w:r>
            </w:hyperlink>
          </w:p>
        </w:tc>
        <w:tc>
          <w:tcPr>
            <w:tcW w:w="1740" w:type="dxa"/>
            <w:vAlign w:val="bottom"/>
            <w:gridSpan w:val="9"/>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2018, Form 10-Q, Exhibit 10.1</w:t>
            </w:r>
          </w:p>
        </w:tc>
      </w:tr>
      <w:tr>
        <w:trPr>
          <w:trHeight w:val="250"/>
        </w:trPr>
        <w:tc>
          <w:tcPr>
            <w:tcW w:w="420" w:type="dxa"/>
            <w:vAlign w:val="bottom"/>
            <w:gridSpan w:val="2"/>
          </w:tcPr>
          <w:p>
            <w:pPr>
              <w:spacing w:after="0"/>
              <w:rPr>
                <w:sz w:val="21"/>
                <w:szCs w:val="21"/>
                <w:color w:val="auto"/>
              </w:rPr>
            </w:pPr>
          </w:p>
        </w:tc>
        <w:tc>
          <w:tcPr>
            <w:tcW w:w="32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2019</w:t>
              </w:r>
            </w:hyperlink>
          </w:p>
        </w:tc>
        <w:tc>
          <w:tcPr>
            <w:tcW w:w="3220" w:type="dxa"/>
            <w:vAlign w:val="bottom"/>
            <w:tcBorders>
              <w:bottom w:val="single" w:sz="8" w:color="0000FF"/>
            </w:tcBorders>
            <w:gridSpan w:val="6"/>
          </w:tcPr>
          <w:p>
            <w:pPr>
              <w:ind w:left="20"/>
              <w:spacing w:after="0"/>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Form of Restricted Stock Units Agreement*</w:t>
              </w:r>
            </w:hyperlink>
          </w:p>
        </w:tc>
        <w:tc>
          <w:tcPr>
            <w:tcW w:w="1740" w:type="dxa"/>
            <w:vAlign w:val="bottom"/>
            <w:gridSpan w:val="9"/>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22, 2019, Form 8-K, Exhibit 10.1</w:t>
            </w:r>
          </w:p>
        </w:tc>
      </w:tr>
      <w:tr>
        <w:trPr>
          <w:trHeight w:val="250"/>
        </w:trPr>
        <w:tc>
          <w:tcPr>
            <w:tcW w:w="420" w:type="dxa"/>
            <w:vAlign w:val="bottom"/>
            <w:gridSpan w:val="2"/>
          </w:tcPr>
          <w:p>
            <w:pPr>
              <w:spacing w:after="0"/>
              <w:rPr>
                <w:sz w:val="21"/>
                <w:szCs w:val="21"/>
                <w:color w:val="auto"/>
              </w:rPr>
            </w:pPr>
          </w:p>
        </w:tc>
        <w:tc>
          <w:tcPr>
            <w:tcW w:w="320" w:type="dxa"/>
            <w:vAlign w:val="bottom"/>
            <w:gridSpan w:val="3"/>
          </w:tcPr>
          <w:p>
            <w:pPr>
              <w:jc w:val="cente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2006</w:t>
              </w:r>
            </w:hyperlink>
          </w:p>
        </w:tc>
        <w:tc>
          <w:tcPr>
            <w:tcW w:w="4960" w:type="dxa"/>
            <w:vAlign w:val="bottom"/>
            <w:gridSpan w:val="15"/>
          </w:tcPr>
          <w:p>
            <w:pPr>
              <w:ind w:left="2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Form of Performance Share Award*</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2006, Form 10-Q, Exhibit 10.6</w:t>
            </w: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780" w:type="dxa"/>
            <w:vAlign w:val="bottom"/>
            <w:gridSpan w:val="6"/>
          </w:tcPr>
          <w:p>
            <w:pPr>
              <w:jc w:val="center"/>
              <w:ind w:left="290"/>
              <w:spacing w:after="0"/>
              <w:rPr>
                <w:rFonts w:ascii="Times New Roman" w:cs="Times New Roman" w:eastAsia="Times New Roman" w:hAnsi="Times New Roman"/>
                <w:sz w:val="18"/>
                <w:szCs w:val="18"/>
                <w:color w:val="0000FF"/>
                <w:w w:val="98"/>
              </w:rPr>
            </w:pPr>
            <w:hyperlink r:id="rId4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ind w:left="20"/>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2019</w:t>
              </w:r>
            </w:hyperlink>
          </w:p>
        </w:tc>
        <w:tc>
          <w:tcPr>
            <w:tcW w:w="4960" w:type="dxa"/>
            <w:vAlign w:val="bottom"/>
            <w:gridSpan w:val="15"/>
          </w:tcPr>
          <w:p>
            <w:pPr>
              <w:ind w:left="2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Form of Performance Share Agreement*</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22, 2019, Form 8-K, Exhibit 10.3</w:t>
            </w:r>
          </w:p>
        </w:tc>
      </w:tr>
      <w:tr>
        <w:trPr>
          <w:trHeight w:val="20"/>
        </w:trPr>
        <w:tc>
          <w:tcPr>
            <w:tcW w:w="38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400" w:type="dxa"/>
            <w:vAlign w:val="bottom"/>
            <w:gridSpan w:val="5"/>
          </w:tcPr>
          <w:p>
            <w:pPr>
              <w:jc w:val="center"/>
              <w:spacing w:after="0"/>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16"/>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Management Incentive Plan*</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25, 2013, Form DEF14A, Appendix A</w:t>
            </w:r>
          </w:p>
        </w:tc>
      </w:tr>
      <w:tr>
        <w:trPr>
          <w:trHeight w:val="20"/>
        </w:trPr>
        <w:tc>
          <w:tcPr>
            <w:tcW w:w="38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740" w:type="dxa"/>
            <w:vAlign w:val="bottom"/>
            <w:tcBorders>
              <w:left w:val="single" w:sz="8" w:color="0000FF"/>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780" w:type="dxa"/>
            <w:vAlign w:val="bottom"/>
            <w:gridSpan w:val="6"/>
          </w:tcPr>
          <w:p>
            <w:pPr>
              <w:jc w:val="center"/>
              <w:ind w:left="290"/>
              <w:spacing w:after="0"/>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16"/>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Executive Nonqualified Pension Plan*</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 2015, Form 8-K, Exhibit 99.1</w:t>
            </w:r>
          </w:p>
        </w:tc>
      </w:tr>
      <w:tr>
        <w:trPr>
          <w:trHeight w:val="20"/>
        </w:trPr>
        <w:tc>
          <w:tcPr>
            <w:tcW w:w="38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780" w:type="dxa"/>
            <w:vAlign w:val="bottom"/>
            <w:gridSpan w:val="6"/>
          </w:tcPr>
          <w:p>
            <w:pPr>
              <w:jc w:val="center"/>
              <w:ind w:left="290"/>
              <w:spacing w:after="0"/>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16"/>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Executive Nonqualified Defined Contribution Plan*</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2015, Form 10-K, Exhibit 10.9</w:t>
            </w:r>
          </w:p>
        </w:tc>
      </w:tr>
      <w:tr>
        <w:trPr>
          <w:trHeight w:val="20"/>
        </w:trPr>
        <w:tc>
          <w:tcPr>
            <w:tcW w:w="38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780" w:type="dxa"/>
            <w:vAlign w:val="bottom"/>
            <w:gridSpan w:val="6"/>
          </w:tcPr>
          <w:p>
            <w:pPr>
              <w:jc w:val="center"/>
              <w:ind w:left="290"/>
              <w:spacing w:after="0"/>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16"/>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Employment and Severance Agreement with Martin Richenhagen*</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2009, Form 10-K, Exhibit 10.12</w:t>
            </w:r>
          </w:p>
        </w:tc>
      </w:tr>
      <w:tr>
        <w:trPr>
          <w:trHeight w:val="20"/>
        </w:trPr>
        <w:tc>
          <w:tcPr>
            <w:tcW w:w="38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1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780" w:type="dxa"/>
            <w:vAlign w:val="bottom"/>
            <w:gridSpan w:val="6"/>
          </w:tcPr>
          <w:p>
            <w:pPr>
              <w:jc w:val="center"/>
              <w:ind w:left="290"/>
              <w:spacing w:after="0"/>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16"/>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Employment and Severance Agreement with Andrew H. Beck*</w:t>
              </w:r>
            </w:hyperlink>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2010, Form 10-Q, Exhibit 10.2</w:t>
            </w:r>
          </w:p>
        </w:tc>
      </w:tr>
      <w:tr>
        <w:trPr>
          <w:trHeight w:val="507"/>
        </w:trPr>
        <w:tc>
          <w:tcPr>
            <w:tcW w:w="3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200" w:type="dxa"/>
            <w:vAlign w:val="bottom"/>
            <w:tcBorders>
              <w:top w:val="single" w:sz="8" w:color="0000FF"/>
            </w:tcBorders>
            <w:gridSpan w:val="12"/>
          </w:tcPr>
          <w:p>
            <w:pPr>
              <w:ind w:left="390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21"/>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740" w:type="dxa"/>
            <w:vAlign w:val="bottom"/>
            <w:gridSpan w:val="2"/>
          </w:tcPr>
          <w:p>
            <w:pPr>
              <w:jc w:val="center"/>
              <w:ind w:left="250"/>
              <w:spacing w:after="0" w:line="196" w:lineRule="exact"/>
              <w:rPr>
                <w:rFonts w:ascii="Times New Roman" w:cs="Times New Roman" w:eastAsia="Times New Roman" w:hAnsi="Times New Roman"/>
                <w:sz w:val="18"/>
                <w:szCs w:val="18"/>
                <w:color w:val="0000FF"/>
                <w:w w:val="98"/>
              </w:rPr>
            </w:pPr>
            <w:hyperlink w:anchor="page11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4"/>
          </w:tcPr>
          <w:p>
            <w:pPr>
              <w:spacing w:after="0" w:line="196" w:lineRule="exact"/>
              <w:rPr>
                <w:rFonts w:ascii="Times New Roman" w:cs="Times New Roman" w:eastAsia="Times New Roman" w:hAnsi="Times New Roman"/>
                <w:sz w:val="18"/>
                <w:szCs w:val="18"/>
                <w:color w:val="0000FF"/>
              </w:rPr>
            </w:pPr>
            <w:hyperlink w:anchor="page117">
              <w:r>
                <w:rPr>
                  <w:rFonts w:ascii="Times New Roman" w:cs="Times New Roman" w:eastAsia="Times New Roman" w:hAnsi="Times New Roman"/>
                  <w:sz w:val="18"/>
                  <w:szCs w:val="18"/>
                  <w:color w:val="0000FF"/>
                </w:rPr>
                <w:t>Employment and Severance Agreement with Eric P. Hansotia*</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Employment and Severance Agreement with Robert B. Crain*</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Employment and Severance Agreement with Rob Smith*</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Employment and Severance Agreement with Hans-Bernd Veltmaat*</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Debt Agreement dated December 18, 2014</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5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Credit Agreement dated as of October 17, 2018</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Letter Agreement, dated November 5, 2015, between AGCO</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International GmbH and TAFE International LLC, Turkey and Tractors</w:t>
              </w:r>
            </w:hyperlink>
          </w:p>
        </w:tc>
        <w:tc>
          <w:tcPr>
            <w:tcW w:w="8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and Farm Equipment Limited</w:t>
              </w:r>
            </w:hyperlink>
          </w:p>
        </w:tc>
        <w:tc>
          <w:tcPr>
            <w:tcW w:w="3100" w:type="dxa"/>
            <w:vAlign w:val="bottom"/>
            <w:gridSpan w:val="19"/>
          </w:tcPr>
          <w:p>
            <w:pPr>
              <w:spacing w:after="0"/>
              <w:rPr>
                <w:sz w:val="17"/>
                <w:szCs w:val="17"/>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Letter Agreement, dated August 29, 2014, between AGCO Corporation</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and Tractors and Farm Equipment Limited</w:t>
              </w:r>
            </w:hyperlink>
          </w:p>
        </w:tc>
        <w:tc>
          <w:tcPr>
            <w:tcW w:w="8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24</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Farm and Machinery Distributor Agreement, dated January 1, 2012,</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4"/>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between AGCO International GmbH and Tractors and Farm Equipment</w:t>
              </w:r>
            </w:hyperlink>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Limited</w:t>
              </w:r>
            </w:hyperlink>
          </w:p>
        </w:tc>
        <w:tc>
          <w:tcPr>
            <w:tcW w:w="4580" w:type="dxa"/>
            <w:vAlign w:val="bottom"/>
            <w:tcBorders>
              <w:top w:val="single" w:sz="8" w:color="0000FF"/>
            </w:tcBorders>
            <w:gridSpan w:val="22"/>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6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25</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Letter Agreement, dated August 3, 2007, between AGCO Corporation</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and Tractors and Farm Equipment Limited</w:t>
              </w:r>
            </w:hyperlink>
          </w:p>
        </w:tc>
        <w:tc>
          <w:tcPr>
            <w:tcW w:w="180" w:type="dxa"/>
            <w:vAlign w:val="bottom"/>
            <w:gridSpan w:val="4"/>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Letter Agreement for Far East Markets, dated July 24, 2017, between</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AGCO International GmbH and Tractors and Farm Equipment Limited</w:t>
              </w:r>
            </w:hyperlink>
          </w:p>
        </w:tc>
        <w:tc>
          <w:tcPr>
            <w:tcW w:w="100" w:type="dxa"/>
            <w:vAlign w:val="bottom"/>
            <w:gridSpan w:val="2"/>
          </w:tcPr>
          <w:p>
            <w:pPr>
              <w:spacing w:after="0"/>
              <w:rPr>
                <w:sz w:val="17"/>
                <w:szCs w:val="17"/>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Letter Agreement for Mexico, dated July 24, 2017, between AGCO</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International GmbH and Tractors and Farm Equipment Limited</w:t>
              </w:r>
            </w:hyperlink>
          </w:p>
        </w:tc>
        <w:tc>
          <w:tcPr>
            <w:tcW w:w="340" w:type="dxa"/>
            <w:vAlign w:val="bottom"/>
            <w:gridSpan w:val="6"/>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28</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Letter Agreement for Australia/New Zealand, dated July 24, 2017,</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4"/>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between AGCO International GmbH and Tractors and Farm Equipment</w:t>
              </w:r>
            </w:hyperlink>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Limited</w:t>
              </w:r>
            </w:hyperlink>
          </w:p>
        </w:tc>
        <w:tc>
          <w:tcPr>
            <w:tcW w:w="4580" w:type="dxa"/>
            <w:vAlign w:val="bottom"/>
            <w:tcBorders>
              <w:top w:val="single" w:sz="8" w:color="0000FF"/>
            </w:tcBorders>
            <w:gridSpan w:val="22"/>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29</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Amendment to the Letter Agreement for Africa, dated July 24, 2017,</w:t>
              </w:r>
            </w:hyperlink>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4"/>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between AGCO International GmbH and Tractors and Farm Equipment</w:t>
              </w:r>
            </w:hyperlink>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Limited</w:t>
              </w:r>
            </w:hyperlink>
          </w:p>
        </w:tc>
        <w:tc>
          <w:tcPr>
            <w:tcW w:w="4580" w:type="dxa"/>
            <w:vAlign w:val="bottom"/>
            <w:tcBorders>
              <w:top w:val="single" w:sz="8" w:color="0000FF"/>
            </w:tcBorders>
            <w:gridSpan w:val="22"/>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30</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Consultancy Agreement, dated December 8, 2014, between AGCO Do</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Brasil Comércio E Industria Ltda and André Carioba*</w:t>
              </w:r>
            </w:hyperlink>
          </w:p>
        </w:tc>
        <w:tc>
          <w:tcPr>
            <w:tcW w:w="140" w:type="dxa"/>
            <w:vAlign w:val="bottom"/>
            <w:gridSpan w:val="3"/>
          </w:tcPr>
          <w:p>
            <w:pPr>
              <w:spacing w:after="0"/>
              <w:rPr>
                <w:sz w:val="17"/>
                <w:szCs w:val="17"/>
                <w:color w:val="auto"/>
              </w:rPr>
            </w:pPr>
          </w:p>
        </w:tc>
      </w:tr>
      <w:tr>
        <w:trPr>
          <w:trHeight w:val="250"/>
        </w:trPr>
        <w:tc>
          <w:tcPr>
            <w:tcW w:w="740" w:type="dxa"/>
            <w:vAlign w:val="bottom"/>
            <w:gridSpan w:val="2"/>
          </w:tcPr>
          <w:p>
            <w:pPr>
              <w:jc w:val="center"/>
              <w:ind w:left="250"/>
              <w:spacing w:after="0"/>
              <w:rPr>
                <w:rFonts w:ascii="Times New Roman" w:cs="Times New Roman" w:eastAsia="Times New Roman" w:hAnsi="Times New Roman"/>
                <w:sz w:val="18"/>
                <w:szCs w:val="18"/>
                <w:color w:val="0000FF"/>
                <w:w w:val="98"/>
              </w:rPr>
            </w:pPr>
            <w:hyperlink w:anchor="page13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w:anchor="page130">
              <w:r>
                <w:rPr>
                  <w:rFonts w:ascii="Times New Roman" w:cs="Times New Roman" w:eastAsia="Times New Roman" w:hAnsi="Times New Roman"/>
                  <w:sz w:val="18"/>
                  <w:szCs w:val="18"/>
                  <w:color w:val="0000FF"/>
                </w:rPr>
                <w:t>Current Director Compensation*</w:t>
              </w:r>
            </w:hyperlink>
          </w:p>
        </w:tc>
        <w:tc>
          <w:tcPr>
            <w:tcW w:w="1340" w:type="dxa"/>
            <w:vAlign w:val="bottom"/>
            <w:gridSpan w:val="13"/>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20" w:type="dxa"/>
            <w:vAlign w:val="bottom"/>
            <w:tcBorders>
              <w:top w:val="single" w:sz="8" w:color="0000FF"/>
            </w:tcBorders>
          </w:tcPr>
          <w:p>
            <w:pPr>
              <w:jc w:val="center"/>
              <w:spacing w:after="0"/>
              <w:rPr>
                <w:rFonts w:ascii="Times New Roman" w:cs="Times New Roman" w:eastAsia="Times New Roman" w:hAnsi="Times New Roman"/>
                <w:sz w:val="18"/>
                <w:szCs w:val="18"/>
                <w:color w:val="0000FF"/>
              </w:rPr>
            </w:pPr>
            <w:hyperlink w:anchor="page132">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w:anchor="page132">
              <w:r>
                <w:rPr>
                  <w:rFonts w:ascii="Times New Roman" w:cs="Times New Roman" w:eastAsia="Times New Roman" w:hAnsi="Times New Roman"/>
                  <w:sz w:val="18"/>
                  <w:szCs w:val="18"/>
                  <w:color w:val="0000FF"/>
                </w:rPr>
                <w:t>Subsidiaries of the Registrant</w:t>
              </w:r>
            </w:hyperlink>
          </w:p>
        </w:tc>
        <w:tc>
          <w:tcPr>
            <w:tcW w:w="2860" w:type="dxa"/>
            <w:vAlign w:val="bottom"/>
            <w:gridSpan w:val="17"/>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20" w:type="dxa"/>
            <w:vAlign w:val="bottom"/>
            <w:tcBorders>
              <w:top w:val="single" w:sz="8" w:color="0000FF"/>
              <w:bottom w:val="single" w:sz="8" w:color="0000FF"/>
            </w:tcBorders>
          </w:tcPr>
          <w:p>
            <w:pPr>
              <w:jc w:val="center"/>
              <w:spacing w:after="0"/>
              <w:rPr>
                <w:rFonts w:ascii="Times New Roman" w:cs="Times New Roman" w:eastAsia="Times New Roman" w:hAnsi="Times New Roman"/>
                <w:sz w:val="18"/>
                <w:szCs w:val="18"/>
                <w:color w:val="0000FF"/>
              </w:rPr>
            </w:pPr>
            <w:hyperlink w:anchor="page136">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136">
              <w:r>
                <w:rPr>
                  <w:rFonts w:ascii="Times New Roman" w:cs="Times New Roman" w:eastAsia="Times New Roman" w:hAnsi="Times New Roman"/>
                  <w:sz w:val="18"/>
                  <w:szCs w:val="18"/>
                  <w:color w:val="0000FF"/>
                  <w:w w:val="99"/>
                </w:rPr>
                <w:t>Consent of KPMG LLP</w:t>
              </w:r>
            </w:hyperlink>
          </w:p>
        </w:tc>
        <w:tc>
          <w:tcPr>
            <w:tcW w:w="400" w:type="dxa"/>
            <w:vAlign w:val="bottom"/>
            <w:tcBorders>
              <w:top w:val="single" w:sz="8" w:color="0000FF"/>
            </w:tcBorders>
          </w:tcPr>
          <w:p>
            <w:pPr>
              <w:spacing w:after="0"/>
              <w:rPr>
                <w:sz w:val="21"/>
                <w:szCs w:val="21"/>
                <w:color w:val="auto"/>
              </w:rPr>
            </w:pPr>
          </w:p>
        </w:tc>
        <w:tc>
          <w:tcPr>
            <w:tcW w:w="3120" w:type="dxa"/>
            <w:vAlign w:val="bottom"/>
            <w:gridSpan w:val="20"/>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137">
              <w:r>
                <w:rPr>
                  <w:rFonts w:ascii="Times New Roman" w:cs="Times New Roman" w:eastAsia="Times New Roman" w:hAnsi="Times New Roman"/>
                  <w:sz w:val="18"/>
                  <w:szCs w:val="18"/>
                  <w:color w:val="0000FF"/>
                </w:rPr>
                <w:t>24.</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137">
              <w:r>
                <w:rPr>
                  <w:rFonts w:ascii="Times New Roman" w:cs="Times New Roman" w:eastAsia="Times New Roman" w:hAnsi="Times New Roman"/>
                  <w:sz w:val="18"/>
                  <w:szCs w:val="18"/>
                  <w:color w:val="0000FF"/>
                  <w:w w:val="99"/>
                </w:rPr>
                <w:t>Powers of Attorney</w:t>
              </w:r>
            </w:hyperlink>
          </w:p>
        </w:tc>
        <w:tc>
          <w:tcPr>
            <w:tcW w:w="3820" w:type="dxa"/>
            <w:vAlign w:val="bottom"/>
            <w:gridSpan w:val="22"/>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20" w:type="dxa"/>
            <w:vAlign w:val="bottom"/>
          </w:tcPr>
          <w:p>
            <w:pPr>
              <w:jc w:val="center"/>
              <w:spacing w:after="0"/>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24"/>
          </w:tcPr>
          <w:p>
            <w:pPr>
              <w:spacing w:after="0"/>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Certification of Martin Richenhagen</w:t>
              </w:r>
            </w:hyperlink>
          </w:p>
        </w:tc>
      </w:tr>
      <w:tr>
        <w:trPr>
          <w:trHeight w:val="250"/>
        </w:trPr>
        <w:tc>
          <w:tcPr>
            <w:tcW w:w="420" w:type="dxa"/>
            <w:vAlign w:val="bottom"/>
          </w:tcPr>
          <w:p>
            <w:pPr>
              <w:spacing w:after="0"/>
              <w:rPr>
                <w:sz w:val="21"/>
                <w:szCs w:val="21"/>
                <w:color w:val="auto"/>
              </w:rPr>
            </w:pPr>
          </w:p>
        </w:tc>
        <w:tc>
          <w:tcPr>
            <w:tcW w:w="320" w:type="dxa"/>
            <w:vAlign w:val="bottom"/>
            <w:tcBorders>
              <w:top w:val="single" w:sz="8" w:color="0000FF"/>
            </w:tcBorders>
          </w:tcPr>
          <w:p>
            <w:pPr>
              <w:jc w:val="center"/>
              <w:spacing w:after="0"/>
              <w:rPr>
                <w:rFonts w:ascii="Times New Roman" w:cs="Times New Roman" w:eastAsia="Times New Roman" w:hAnsi="Times New Roman"/>
                <w:sz w:val="18"/>
                <w:szCs w:val="18"/>
                <w:color w:val="0000FF"/>
              </w:rPr>
            </w:pPr>
            <w:hyperlink w:anchor="page140">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w:anchor="page139">
              <w:r>
                <w:rPr>
                  <w:rFonts w:ascii="Times New Roman" w:cs="Times New Roman" w:eastAsia="Times New Roman" w:hAnsi="Times New Roman"/>
                  <w:sz w:val="18"/>
                  <w:szCs w:val="18"/>
                  <w:color w:val="0000FF"/>
                </w:rPr>
                <w:t>Certification of Andrew H. Beck</w:t>
              </w:r>
            </w:hyperlink>
          </w:p>
        </w:tc>
        <w:tc>
          <w:tcPr>
            <w:tcW w:w="2620" w:type="dxa"/>
            <w:vAlign w:val="bottom"/>
            <w:gridSpan w:val="16"/>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3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140">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140">
              <w:r>
                <w:rPr>
                  <w:rFonts w:ascii="Times New Roman" w:cs="Times New Roman" w:eastAsia="Times New Roman" w:hAnsi="Times New Roman"/>
                  <w:sz w:val="18"/>
                  <w:szCs w:val="18"/>
                  <w:color w:val="0000FF"/>
                  <w:w w:val="99"/>
                </w:rPr>
                <w:t>Certification of Martin Richenhagen and Andrew H. Beck</w:t>
              </w:r>
            </w:hyperlink>
          </w:p>
        </w:tc>
        <w:tc>
          <w:tcPr>
            <w:tcW w:w="1040" w:type="dxa"/>
            <w:vAlign w:val="bottom"/>
            <w:gridSpan w:val="11"/>
          </w:tcPr>
          <w:p>
            <w:pPr>
              <w:spacing w:after="0"/>
              <w:rPr>
                <w:sz w:val="21"/>
                <w:szCs w:val="21"/>
                <w:color w:val="auto"/>
              </w:rPr>
            </w:pPr>
          </w:p>
        </w:tc>
      </w:tr>
      <w:tr>
        <w:trPr>
          <w:trHeight w:val="723"/>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7"/>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1159"/>
        <w:spacing w:after="0" w:line="268" w:lineRule="auto"/>
        <w:rPr>
          <w:sz w:val="20"/>
          <w:szCs w:val="20"/>
          <w:color w:val="auto"/>
        </w:rPr>
      </w:pPr>
      <w:r>
        <w:rPr>
          <w:rFonts w:ascii="Times New Roman" w:cs="Times New Roman" w:eastAsia="Times New Roman" w:hAnsi="Times New Roman"/>
          <w:sz w:val="18"/>
          <w:szCs w:val="18"/>
          <w:b w:val="1"/>
          <w:bCs w:val="1"/>
          <w:color w:val="auto"/>
        </w:rPr>
        <w:t>The Filings Referenced for Incorporation by Reference are AGCO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2540</wp:posOffset>
            </wp:positionV>
            <wp:extent cx="3035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jc w:val="both"/>
        <w:ind w:right="200"/>
        <w:spacing w:after="0" w:line="341" w:lineRule="auto"/>
        <w:rPr>
          <w:sz w:val="20"/>
          <w:szCs w:val="20"/>
          <w:color w:val="auto"/>
        </w:rPr>
      </w:pPr>
      <w:r>
        <w:rPr>
          <w:rFonts w:ascii="Times New Roman" w:cs="Times New Roman" w:eastAsia="Times New Roman" w:hAnsi="Times New Roman"/>
          <w:sz w:val="17"/>
          <w:szCs w:val="17"/>
          <w:color w:val="auto"/>
        </w:rPr>
        <w:t>December 31, 2017, Form 10-K, Exhibit 10.13 December 31, 2015, Form 10-K, Exhibit 10.13 December 31, 2009, Form 10-K, Exhibit 10.17 December 31, 2014, Form 10-K, Exhibit 10.15 September 30, 2018, Form 10-Q, Exhibit 10.1 September 30, 2015, Form 10-Q, Exhibit 10.1</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2014, Form 8-K, Exhibit 10.1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2014, Form 8-K, Exhibit 10.2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2014, Form 8-K, Exhibit 10.3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2017, Form 8-K, Exhibit 10.1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2017, Form 8-K, Exhibit 10.2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2017, Form 8-K, Exhibit 10.3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2017, Form 8-K, Exhibit 10.4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2014, Form 8-K, Exhibit 10.1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6540" w:space="120"/>
            <w:col w:w="3580"/>
          </w:cols>
          <w:pgMar w:left="240" w:top="121" w:right="141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Filings Referenced for</w:t>
            </w:r>
          </w:p>
        </w:tc>
      </w:tr>
      <w:tr>
        <w:trPr>
          <w:trHeight w:val="216"/>
        </w:trPr>
        <w:tc>
          <w:tcPr>
            <w:tcW w:w="260" w:type="dxa"/>
            <w:vAlign w:val="bottom"/>
          </w:tcPr>
          <w:p>
            <w:pPr>
              <w:spacing w:after="0"/>
              <w:rPr>
                <w:sz w:val="18"/>
                <w:szCs w:val="18"/>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by Reference are</w:t>
            </w:r>
          </w:p>
        </w:tc>
      </w:tr>
      <w:tr>
        <w:trPr>
          <w:trHeight w:val="238"/>
        </w:trPr>
        <w:tc>
          <w:tcPr>
            <w:tcW w:w="260" w:type="dxa"/>
            <w:vAlign w:val="bottom"/>
          </w:tcPr>
          <w:p>
            <w:pPr>
              <w:spacing w:after="0"/>
              <w:rPr>
                <w:sz w:val="20"/>
                <w:szCs w:val="20"/>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0" w:type="dxa"/>
            <w:vAlign w:val="bottom"/>
          </w:tcPr>
          <w:p>
            <w:pPr>
              <w:spacing w:after="0"/>
              <w:rPr>
                <w:sz w:val="20"/>
                <w:szCs w:val="20"/>
                <w:color w:val="auto"/>
              </w:rPr>
            </w:pPr>
          </w:p>
        </w:tc>
        <w:tc>
          <w:tcPr>
            <w:tcW w:w="5280" w:type="dxa"/>
            <w:vAlign w:val="bottom"/>
            <w:gridSpan w:val="7"/>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AGCO Corporation</w:t>
            </w:r>
          </w:p>
        </w:tc>
      </w:tr>
      <w:tr>
        <w:trPr>
          <w:trHeight w:val="27"/>
        </w:trPr>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196"/>
        </w:trPr>
        <w:tc>
          <w:tcPr>
            <w:tcW w:w="260" w:type="dxa"/>
            <w:vAlign w:val="bottom"/>
          </w:tcPr>
          <w:p>
            <w:pPr>
              <w:spacing w:after="0"/>
              <w:rPr>
                <w:sz w:val="17"/>
                <w:szCs w:val="17"/>
                <w:color w:val="auto"/>
              </w:rPr>
            </w:pPr>
          </w:p>
        </w:tc>
        <w:tc>
          <w:tcPr>
            <w:tcW w:w="640" w:type="dxa"/>
            <w:vAlign w:val="bottom"/>
            <w:tcBorders>
              <w:bottom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FF"/>
              </w:rPr>
              <w:t>101.</w:t>
            </w:r>
            <w:r>
              <w:rPr>
                <w:rFonts w:ascii="Times New Roman" w:cs="Times New Roman" w:eastAsia="Times New Roman" w:hAnsi="Times New Roman"/>
                <w:sz w:val="18"/>
                <w:szCs w:val="18"/>
                <w:u w:val="single" w:color="auto"/>
                <w:color w:val="0000FF"/>
              </w:rPr>
              <w:t>INS</w:t>
            </w:r>
          </w:p>
        </w:tc>
        <w:tc>
          <w:tcPr>
            <w:tcW w:w="3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XBRL Instance Document</w:t>
            </w:r>
          </w:p>
        </w:tc>
        <w:tc>
          <w:tcPr>
            <w:tcW w:w="3360" w:type="dxa"/>
            <w:vAlign w:val="bottom"/>
            <w:gridSpan w:val="6"/>
          </w:tcPr>
          <w:p>
            <w:pPr>
              <w:spacing w:after="0"/>
              <w:rPr>
                <w:sz w:val="17"/>
                <w:szCs w:val="17"/>
                <w:color w:val="auto"/>
              </w:rPr>
            </w:pPr>
          </w:p>
        </w:tc>
        <w:tc>
          <w:tcPr>
            <w:tcW w:w="47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250"/>
        </w:trPr>
        <w:tc>
          <w:tcPr>
            <w:tcW w:w="2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101.</w:t>
            </w:r>
            <w:r>
              <w:rPr>
                <w:rFonts w:ascii="Times New Roman" w:cs="Times New Roman" w:eastAsia="Times New Roman" w:hAnsi="Times New Roman"/>
                <w:sz w:val="18"/>
                <w:szCs w:val="18"/>
                <w:u w:val="single" w:color="auto"/>
                <w:color w:val="0000FF"/>
                <w:w w:val="96"/>
              </w:rPr>
              <w:t>SCH</w:t>
            </w:r>
          </w:p>
        </w:tc>
        <w:tc>
          <w:tcPr>
            <w:tcW w:w="3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XBRL Taxonomy Extension Schema</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0000FF"/>
                <w:w w:val="97"/>
              </w:rPr>
              <w:t>101.</w:t>
            </w:r>
            <w:r>
              <w:rPr>
                <w:rFonts w:ascii="Times New Roman" w:cs="Times New Roman" w:eastAsia="Times New Roman" w:hAnsi="Times New Roman"/>
                <w:sz w:val="18"/>
                <w:szCs w:val="18"/>
                <w:u w:val="single" w:color="auto"/>
                <w:color w:val="0000FF"/>
                <w:w w:val="97"/>
              </w:rPr>
              <w:t>CAL</w:t>
            </w:r>
          </w:p>
        </w:tc>
        <w:tc>
          <w:tcPr>
            <w:tcW w:w="40" w:type="dxa"/>
            <w:vAlign w:val="bottom"/>
          </w:tcPr>
          <w:p>
            <w:pPr>
              <w:spacing w:after="0"/>
              <w:rPr>
                <w:sz w:val="21"/>
                <w:szCs w:val="21"/>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XBRL Taxonomy Extension Calculation Linkbase</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50"/>
        </w:trPr>
        <w:tc>
          <w:tcPr>
            <w:tcW w:w="260" w:type="dxa"/>
            <w:vAlign w:val="bottom"/>
          </w:tcPr>
          <w:p>
            <w:pPr>
              <w:spacing w:after="0"/>
              <w:rPr>
                <w:sz w:val="21"/>
                <w:szCs w:val="21"/>
                <w:color w:val="auto"/>
              </w:rPr>
            </w:pPr>
          </w:p>
        </w:tc>
        <w:tc>
          <w:tcPr>
            <w:tcW w:w="6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101.</w:t>
            </w:r>
            <w:r>
              <w:rPr>
                <w:rFonts w:ascii="Times New Roman" w:cs="Times New Roman" w:eastAsia="Times New Roman" w:hAnsi="Times New Roman"/>
                <w:sz w:val="18"/>
                <w:szCs w:val="18"/>
                <w:u w:val="single" w:color="auto"/>
                <w:color w:val="0000FF"/>
                <w:w w:val="97"/>
              </w:rPr>
              <w:t>DEF</w:t>
            </w:r>
          </w:p>
        </w:tc>
        <w:tc>
          <w:tcPr>
            <w:tcW w:w="3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35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XBRL Taxonomy Extension Definition Linkbase</w:t>
            </w:r>
          </w:p>
        </w:tc>
        <w:tc>
          <w:tcPr>
            <w:tcW w:w="140" w:type="dxa"/>
            <w:vAlign w:val="bottom"/>
            <w:tcBorders>
              <w:top w:val="single" w:sz="8" w:color="0000FF"/>
            </w:tcBorders>
          </w:tcPr>
          <w:p>
            <w:pPr>
              <w:spacing w:after="0"/>
              <w:rPr>
                <w:sz w:val="21"/>
                <w:szCs w:val="21"/>
                <w:color w:val="auto"/>
              </w:rPr>
            </w:pPr>
          </w:p>
        </w:tc>
        <w:tc>
          <w:tcPr>
            <w:tcW w:w="1600" w:type="dxa"/>
            <w:vAlign w:val="bottom"/>
            <w:gridSpan w:val="2"/>
          </w:tcPr>
          <w:p>
            <w:pPr>
              <w:spacing w:after="0"/>
              <w:rPr>
                <w:sz w:val="21"/>
                <w:szCs w:val="21"/>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50"/>
        </w:trPr>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0000FF"/>
                <w:w w:val="97"/>
              </w:rPr>
              <w:t>101.</w:t>
            </w:r>
            <w:r>
              <w:rPr>
                <w:rFonts w:ascii="Times New Roman" w:cs="Times New Roman" w:eastAsia="Times New Roman" w:hAnsi="Times New Roman"/>
                <w:sz w:val="18"/>
                <w:szCs w:val="18"/>
                <w:u w:val="single" w:color="auto"/>
                <w:color w:val="0000FF"/>
                <w:w w:val="97"/>
              </w:rPr>
              <w:t>LAB</w:t>
            </w:r>
          </w:p>
        </w:tc>
        <w:tc>
          <w:tcPr>
            <w:tcW w:w="40" w:type="dxa"/>
            <w:vAlign w:val="bottom"/>
          </w:tcPr>
          <w:p>
            <w:pPr>
              <w:spacing w:after="0"/>
              <w:rPr>
                <w:sz w:val="21"/>
                <w:szCs w:val="21"/>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XBRL Taxonomy Extension Label Linkbase</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101.</w:t>
            </w:r>
            <w:r>
              <w:rPr>
                <w:rFonts w:ascii="Times New Roman" w:cs="Times New Roman" w:eastAsia="Times New Roman" w:hAnsi="Times New Roman"/>
                <w:sz w:val="18"/>
                <w:szCs w:val="18"/>
                <w:u w:val="single" w:color="auto"/>
                <w:color w:val="0000FF"/>
                <w:w w:val="99"/>
              </w:rPr>
              <w:t>PRE</w:t>
            </w:r>
          </w:p>
        </w:tc>
        <w:tc>
          <w:tcPr>
            <w:tcW w:w="3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XBRL Taxonomy Extension Presentation Linkbase</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26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00"/>
          </w:cols>
          <w:pgMar w:left="240" w:top="121" w:right="25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AGCO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RICHENHAGEN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Martin Richenhagen</w:t>
      </w:r>
    </w:p>
    <w:p>
      <w:pPr>
        <w:spacing w:after="0" w:line="6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Chairman of the Board, President</w:t>
      </w:r>
    </w:p>
    <w:p>
      <w:pPr>
        <w:spacing w:after="0" w:line="2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45"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Dated:</w:t>
        <w:tab/>
        <w:t>March 1, 2019</w:t>
      </w:r>
    </w:p>
    <w:p>
      <w:pPr>
        <w:spacing w:after="0" w:line="158"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280" w:type="dxa"/>
            <w:vAlign w:val="bottom"/>
          </w:tcPr>
          <w:p>
            <w:pPr>
              <w:spacing w:after="0"/>
              <w:rPr>
                <w:sz w:val="17"/>
                <w:szCs w:val="17"/>
                <w:color w:val="auto"/>
              </w:rPr>
            </w:pPr>
          </w:p>
        </w:tc>
        <w:tc>
          <w:tcPr>
            <w:tcW w:w="248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60" w:type="dxa"/>
            <w:vAlign w:val="bottom"/>
          </w:tcPr>
          <w:p>
            <w:pPr>
              <w:spacing w:after="0"/>
              <w:rPr>
                <w:sz w:val="17"/>
                <w:szCs w:val="17"/>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2"/>
        </w:trPr>
        <w:tc>
          <w:tcPr>
            <w:tcW w:w="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Chairman of the Board, President and Chief</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34"/>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MARTIN RICHENHAGEN</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Martin Richenhagen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2"/>
        </w:trPr>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7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34"/>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ANDREW H. BECK</w:t>
            </w:r>
          </w:p>
        </w:tc>
        <w:tc>
          <w:tcPr>
            <w:tcW w:w="47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Andrew H. Beck</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2"/>
        </w:trPr>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7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Vice President, Chief Accounting Officer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34"/>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LARA T. LONG</w:t>
            </w:r>
          </w:p>
        </w:tc>
        <w:tc>
          <w:tcPr>
            <w:tcW w:w="47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Lara T. Long</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ROY V. ARMES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Roy V. Armes</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MICHAEL C. ARNOLD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Michael C. Arnold</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P. GEORGE BENSON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 George Benson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SUZANNE P. CLARK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Suzanne P. Clark</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WOLFGANG DEML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Wolfgang Deml</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GEORGE E. MINNICH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George E. Minnich</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GERALD L. SHAHEEN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Gerald L. Shaheen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 MALLIKA SRINIVASAN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Mallika Srinivasan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HENDRIKUS VISSER *</w:t>
            </w:r>
          </w:p>
        </w:tc>
        <w:tc>
          <w:tcPr>
            <w:tcW w:w="47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Hendrikus Visser</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ANDREW H. BECK</w:t>
            </w: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Andrew H. Beck</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Attorney-in-Fact</w:t>
            </w:r>
          </w:p>
        </w:tc>
        <w:tc>
          <w:tcPr>
            <w:tcW w:w="2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360"/>
          </w:cols>
          <w:pgMar w:left="240" w:top="121" w:right="299" w:bottom="1440" w:gutter="0" w:footer="0" w:header="0"/>
          <w:type w:val="continuous"/>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ITEM 15 (A)(2)</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FINANCIAL STATEMENT SCHEDULE</w:t>
      </w:r>
    </w:p>
    <w:p>
      <w:pPr>
        <w:spacing w:after="0" w:line="2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219"/>
          </w:cols>
          <w:pgMar w:left="240" w:top="121" w:right="1440"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AGCO CORPORATION AND SUBSIDIARIES</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12"/>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Businesses</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2018</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Allowances for doubtful accounts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2017</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Allowances for doubtful accounts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2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2016</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Allowances for doubtful accounts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Reversal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12"/>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2018</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Accruals of severance, relocation and other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integration costs</w:t>
            </w:r>
          </w:p>
        </w:tc>
        <w:tc>
          <w:tcPr>
            <w:tcW w:w="1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2017</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Accruals of severance, relocation and other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integration costs</w:t>
            </w:r>
          </w:p>
        </w:tc>
        <w:tc>
          <w:tcPr>
            <w:tcW w:w="1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2016</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Accruals of severance, relocation and other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28"/>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integration costs</w:t>
            </w:r>
          </w:p>
        </w:tc>
        <w:tc>
          <w:tcPr>
            <w:tcW w:w="1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Charged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(Credited) to</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45"/>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Businesses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5"/>
              </w:rPr>
              <w:t>Expenses</w:t>
            </w:r>
            <w:r>
              <w:rPr>
                <w:rFonts w:ascii="Times New Roman" w:cs="Times New Roman" w:eastAsia="Times New Roman" w:hAnsi="Times New Roman"/>
                <w:sz w:val="21"/>
                <w:szCs w:val="21"/>
                <w:b w:val="1"/>
                <w:bCs w:val="1"/>
                <w:color w:val="auto"/>
                <w:w w:val="95"/>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2018</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tax valuation allowance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2017</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tax valuation allowance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2016</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tax valuation allowance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 charged through other comprehensive income during the year ended December 31, 2018 was $18.3 million.</w:t>
      </w:r>
    </w:p>
    <w:p>
      <w:pPr>
        <w:spacing w:after="0" w:line="200" w:lineRule="exact"/>
        <w:rPr>
          <w:rFonts w:ascii="Times New Roman" w:cs="Times New Roman" w:eastAsia="Times New Roman" w:hAnsi="Times New Roman"/>
          <w:sz w:val="22"/>
          <w:szCs w:val="22"/>
          <w:color w:val="auto"/>
          <w:vertAlign w:val="superscript"/>
        </w:rPr>
      </w:pPr>
    </w:p>
    <w:p>
      <w:pPr>
        <w:spacing w:after="0" w:line="314" w:lineRule="exact"/>
        <w:rPr>
          <w:rFonts w:ascii="Times New Roman" w:cs="Times New Roman" w:eastAsia="Times New Roman" w:hAnsi="Times New Roman"/>
          <w:sz w:val="22"/>
          <w:szCs w:val="22"/>
          <w:color w:val="auto"/>
          <w:vertAlign w:val="superscript"/>
        </w:rPr>
      </w:pPr>
    </w:p>
    <w:p>
      <w:pPr>
        <w:ind w:left="55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514985</wp:posOffset>
            </wp:positionV>
            <wp:extent cx="2400935" cy="892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extLst>
                    </a:blip>
                    <a:srcRect/>
                    <a:stretch>
                      <a:fillRect/>
                    </a:stretch>
                  </pic:blipFill>
                  <pic:spPr bwMode="auto">
                    <a:xfrm>
                      <a:off x="0" y="0"/>
                      <a:ext cx="240093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219"/>
          </w:cols>
          <w:pgMar w:left="240" w:top="121"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3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3F3F3F"/>
        </w:rPr>
        <w:t>EMPLOYMENT AND SEVERANCE AGREEMENT</w:t>
      </w:r>
    </w:p>
    <w:p>
      <w:pPr>
        <w:spacing w:after="0" w:line="256" w:lineRule="exact"/>
        <w:rPr>
          <w:sz w:val="20"/>
          <w:szCs w:val="20"/>
          <w:color w:val="auto"/>
        </w:rPr>
      </w:pPr>
    </w:p>
    <w:p>
      <w:pPr>
        <w:ind w:left="20" w:right="840"/>
        <w:spacing w:after="0" w:line="283" w:lineRule="auto"/>
        <w:rPr>
          <w:sz w:val="20"/>
          <w:szCs w:val="20"/>
          <w:color w:val="auto"/>
        </w:rPr>
      </w:pPr>
      <w:r>
        <w:rPr>
          <w:rFonts w:ascii="Times New Roman" w:cs="Times New Roman" w:eastAsia="Times New Roman" w:hAnsi="Times New Roman"/>
          <w:sz w:val="20"/>
          <w:szCs w:val="20"/>
          <w:color w:val="3F3F3F"/>
        </w:rPr>
        <w:t xml:space="preserve">This Employment and Severance Agreement (the </w:t>
      </w:r>
      <w:r>
        <w:rPr>
          <w:rFonts w:ascii="Times New Roman" w:cs="Times New Roman" w:eastAsia="Times New Roman" w:hAnsi="Times New Roman"/>
          <w:sz w:val="20"/>
          <w:szCs w:val="20"/>
          <w:color w:val="545454"/>
        </w:rPr>
        <w:t>" Ag</w:t>
      </w:r>
      <w:r>
        <w:rPr>
          <w:rFonts w:ascii="Times New Roman" w:cs="Times New Roman" w:eastAsia="Times New Roman" w:hAnsi="Times New Roman"/>
          <w:sz w:val="20"/>
          <w:szCs w:val="20"/>
          <w:color w:val="2D2D2D"/>
        </w:rPr>
        <w:t>reement</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F3F3F"/>
        </w:rPr>
        <w:t xml:space="preserve"> is entered into </w:t>
      </w:r>
      <w:r>
        <w:rPr>
          <w:rFonts w:ascii="Times New Roman" w:cs="Times New Roman" w:eastAsia="Times New Roman" w:hAnsi="Times New Roman"/>
          <w:sz w:val="20"/>
          <w:szCs w:val="20"/>
          <w:color w:val="2D2D2D"/>
        </w:rPr>
        <w:t>this</w:t>
      </w:r>
      <w:r>
        <w:rPr>
          <w:rFonts w:ascii="Times New Roman" w:cs="Times New Roman" w:eastAsia="Times New Roman" w:hAnsi="Times New Roman"/>
          <w:sz w:val="20"/>
          <w:szCs w:val="20"/>
          <w:color w:val="3F3F3F"/>
        </w:rPr>
        <w:t xml:space="preserve"> 5th </w:t>
      </w:r>
      <w:r>
        <w:rPr>
          <w:rFonts w:ascii="Times New Roman" w:cs="Times New Roman" w:eastAsia="Times New Roman" w:hAnsi="Times New Roman"/>
          <w:sz w:val="20"/>
          <w:szCs w:val="20"/>
          <w:color w:val="2D2D2D"/>
        </w:rPr>
        <w:t>day</w:t>
      </w:r>
      <w:r>
        <w:rPr>
          <w:rFonts w:ascii="Times New Roman" w:cs="Times New Roman" w:eastAsia="Times New Roman" w:hAnsi="Times New Roman"/>
          <w:sz w:val="20"/>
          <w:szCs w:val="20"/>
          <w:color w:val="3F3F3F"/>
        </w:rPr>
        <w:t xml:space="preserve"> of April, 2013, by and </w:t>
      </w:r>
      <w:r>
        <w:rPr>
          <w:rFonts w:ascii="Times New Roman" w:cs="Times New Roman" w:eastAsia="Times New Roman" w:hAnsi="Times New Roman"/>
          <w:sz w:val="20"/>
          <w:szCs w:val="20"/>
          <w:color w:val="2D2D2D"/>
        </w:rPr>
        <w:t>between</w:t>
      </w:r>
      <w:r>
        <w:rPr>
          <w:rFonts w:ascii="Times New Roman" w:cs="Times New Roman" w:eastAsia="Times New Roman" w:hAnsi="Times New Roman"/>
          <w:sz w:val="20"/>
          <w:szCs w:val="20"/>
          <w:color w:val="3F3F3F"/>
        </w:rPr>
        <w:t xml:space="preserve"> AGCO CORPORATION, a Delaware corporation (the </w:t>
      </w:r>
      <w:r>
        <w:rPr>
          <w:rFonts w:ascii="Times New Roman" w:cs="Times New Roman" w:eastAsia="Times New Roman" w:hAnsi="Times New Roman"/>
          <w:sz w:val="20"/>
          <w:szCs w:val="20"/>
          <w:color w:val="545454"/>
        </w:rPr>
        <w:t>"Co</w:t>
      </w:r>
      <w:r>
        <w:rPr>
          <w:rFonts w:ascii="Times New Roman" w:cs="Times New Roman" w:eastAsia="Times New Roman" w:hAnsi="Times New Roman"/>
          <w:sz w:val="20"/>
          <w:szCs w:val="20"/>
          <w:color w:val="2D2D2D"/>
        </w:rPr>
        <w:t>mpany")</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F3F3F"/>
        </w:rPr>
        <w:t xml:space="preserve"> and Eric Hansotia (the </w:t>
      </w:r>
      <w:r>
        <w:rPr>
          <w:rFonts w:ascii="Times New Roman" w:cs="Times New Roman" w:eastAsia="Times New Roman" w:hAnsi="Times New Roman"/>
          <w:sz w:val="20"/>
          <w:szCs w:val="20"/>
          <w:color w:val="545454"/>
        </w:rPr>
        <w:t>"Executive")</w:t>
      </w:r>
      <w:r>
        <w:rPr>
          <w:rFonts w:ascii="Times New Roman" w:cs="Times New Roman" w:eastAsia="Times New Roman" w:hAnsi="Times New Roman"/>
          <w:sz w:val="20"/>
          <w:szCs w:val="20"/>
          <w:color w:val="2D2D2D"/>
        </w:rPr>
        <w: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3F3F3F"/>
        </w:rPr>
        <w:t>WITNESSETH:</w:t>
      </w:r>
    </w:p>
    <w:p>
      <w:pPr>
        <w:spacing w:after="0" w:line="243" w:lineRule="exact"/>
        <w:rPr>
          <w:sz w:val="20"/>
          <w:szCs w:val="20"/>
          <w:color w:val="auto"/>
        </w:rPr>
      </w:pPr>
    </w:p>
    <w:p>
      <w:pPr>
        <w:ind w:left="20" w:right="360" w:firstLine="648"/>
        <w:spacing w:after="0" w:line="283" w:lineRule="auto"/>
        <w:rPr>
          <w:sz w:val="20"/>
          <w:szCs w:val="20"/>
          <w:color w:val="auto"/>
        </w:rPr>
      </w:pPr>
      <w:r>
        <w:rPr>
          <w:rFonts w:ascii="Times New Roman" w:cs="Times New Roman" w:eastAsia="Times New Roman" w:hAnsi="Times New Roman"/>
          <w:sz w:val="20"/>
          <w:szCs w:val="20"/>
          <w:color w:val="3F3F3F"/>
        </w:rPr>
        <w:t xml:space="preserve">In consideration of the mutual covenants </w:t>
      </w:r>
      <w:r>
        <w:rPr>
          <w:rFonts w:ascii="Times New Roman" w:cs="Times New Roman" w:eastAsia="Times New Roman" w:hAnsi="Times New Roman"/>
          <w:sz w:val="20"/>
          <w:szCs w:val="20"/>
          <w:color w:val="2D2D2D"/>
        </w:rPr>
        <w:t>and agreements hereinafter set</w:t>
      </w:r>
      <w:r>
        <w:rPr>
          <w:rFonts w:ascii="Times New Roman" w:cs="Times New Roman" w:eastAsia="Times New Roman" w:hAnsi="Times New Roman"/>
          <w:sz w:val="20"/>
          <w:szCs w:val="20"/>
          <w:color w:val="3F3F3F"/>
        </w:rPr>
        <w:t xml:space="preserve"> forth,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Company and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Executive do hereby agree as follows:</w:t>
      </w:r>
    </w:p>
    <w:p>
      <w:pPr>
        <w:spacing w:after="0" w:line="160" w:lineRule="exact"/>
        <w:rPr>
          <w:sz w:val="20"/>
          <w:szCs w:val="20"/>
          <w:color w:val="auto"/>
        </w:rPr>
      </w:pPr>
    </w:p>
    <w:p>
      <w:pPr>
        <w:ind w:left="1320" w:hanging="662"/>
        <w:spacing w:after="0"/>
        <w:tabs>
          <w:tab w:leader="none" w:pos="1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EMPLOYMENT.</w:t>
      </w:r>
    </w:p>
    <w:p>
      <w:pPr>
        <w:spacing w:after="0" w:line="242" w:lineRule="exact"/>
        <w:rPr>
          <w:rFonts w:ascii="Times New Roman" w:cs="Times New Roman" w:eastAsia="Times New Roman" w:hAnsi="Times New Roman"/>
          <w:sz w:val="20"/>
          <w:szCs w:val="20"/>
          <w:color w:val="auto"/>
        </w:rPr>
      </w:pPr>
    </w:p>
    <w:p>
      <w:pPr>
        <w:ind w:left="20" w:right="320" w:firstLine="1300"/>
        <w:spacing w:after="0" w:line="297" w:lineRule="auto"/>
        <w:tabs>
          <w:tab w:leader="none" w:pos="171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 xml:space="preserve">The Company hereby employs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Executive, and the </w:t>
      </w:r>
      <w:r>
        <w:rPr>
          <w:rFonts w:ascii="Times New Roman" w:cs="Times New Roman" w:eastAsia="Times New Roman" w:hAnsi="Times New Roman"/>
          <w:sz w:val="20"/>
          <w:szCs w:val="20"/>
          <w:color w:val="545454"/>
        </w:rPr>
        <w:t>Execut</w:t>
      </w:r>
      <w:r>
        <w:rPr>
          <w:rFonts w:ascii="Times New Roman" w:cs="Times New Roman" w:eastAsia="Times New Roman" w:hAnsi="Times New Roman"/>
          <w:sz w:val="20"/>
          <w:szCs w:val="20"/>
          <w:color w:val="2D2D2D"/>
        </w:rPr>
        <w:t>ive hereby agrees</w:t>
      </w:r>
      <w:r>
        <w:rPr>
          <w:rFonts w:ascii="Times New Roman" w:cs="Times New Roman" w:eastAsia="Times New Roman" w:hAnsi="Times New Roman"/>
          <w:sz w:val="20"/>
          <w:szCs w:val="20"/>
          <w:color w:val="3F3F3F"/>
        </w:rPr>
        <w:t xml:space="preserve"> to </w:t>
      </w:r>
      <w:r>
        <w:rPr>
          <w:rFonts w:ascii="Times New Roman" w:cs="Times New Roman" w:eastAsia="Times New Roman" w:hAnsi="Times New Roman"/>
          <w:sz w:val="20"/>
          <w:szCs w:val="20"/>
          <w:color w:val="2D2D2D"/>
        </w:rPr>
        <w:t>serve</w:t>
      </w:r>
      <w:r>
        <w:rPr>
          <w:rFonts w:ascii="Times New Roman" w:cs="Times New Roman" w:eastAsia="Times New Roman" w:hAnsi="Times New Roman"/>
          <w:sz w:val="20"/>
          <w:szCs w:val="20"/>
          <w:color w:val="3F3F3F"/>
        </w:rPr>
        <w:t xml:space="preserve"> the Company, upon the </w:t>
      </w:r>
      <w:r>
        <w:rPr>
          <w:rFonts w:ascii="Times New Roman" w:cs="Times New Roman" w:eastAsia="Times New Roman" w:hAnsi="Times New Roman"/>
          <w:sz w:val="20"/>
          <w:szCs w:val="20"/>
          <w:color w:val="2D2D2D"/>
        </w:rPr>
        <w:t>terms</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D2D2D"/>
        </w:rPr>
        <w:t xml:space="preserve">and </w:t>
      </w:r>
      <w:r>
        <w:rPr>
          <w:rFonts w:ascii="Times New Roman" w:cs="Times New Roman" w:eastAsia="Times New Roman" w:hAnsi="Times New Roman"/>
          <w:sz w:val="20"/>
          <w:szCs w:val="20"/>
          <w:color w:val="3F3F3F"/>
        </w:rPr>
        <w:t>conditions set forth in this Agreement.</w:t>
      </w:r>
    </w:p>
    <w:p>
      <w:pPr>
        <w:spacing w:after="0" w:line="173" w:lineRule="exact"/>
        <w:rPr>
          <w:rFonts w:ascii="Times New Roman" w:cs="Times New Roman" w:eastAsia="Times New Roman" w:hAnsi="Times New Roman"/>
          <w:sz w:val="20"/>
          <w:szCs w:val="20"/>
          <w:color w:val="auto"/>
        </w:rPr>
      </w:pPr>
    </w:p>
    <w:p>
      <w:pPr>
        <w:ind w:left="20" w:right="160" w:firstLine="1300"/>
        <w:spacing w:after="0" w:line="297" w:lineRule="auto"/>
        <w:tabs>
          <w:tab w:leader="none" w:pos="172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 xml:space="preserve">The </w:t>
      </w:r>
      <w:r>
        <w:rPr>
          <w:rFonts w:ascii="Times New Roman" w:cs="Times New Roman" w:eastAsia="Times New Roman" w:hAnsi="Times New Roman"/>
          <w:sz w:val="20"/>
          <w:szCs w:val="20"/>
          <w:color w:val="2D2D2D"/>
        </w:rPr>
        <w:t>employment term</w:t>
      </w:r>
      <w:r>
        <w:rPr>
          <w:rFonts w:ascii="Times New Roman" w:cs="Times New Roman" w:eastAsia="Times New Roman" w:hAnsi="Times New Roman"/>
          <w:sz w:val="20"/>
          <w:szCs w:val="20"/>
          <w:color w:val="3F3F3F"/>
        </w:rPr>
        <w:t xml:space="preserve"> shall commence on July </w:t>
      </w:r>
      <w:r>
        <w:rPr>
          <w:rFonts w:ascii="Times New Roman" w:cs="Times New Roman" w:eastAsia="Times New Roman" w:hAnsi="Times New Roman"/>
          <w:sz w:val="20"/>
          <w:szCs w:val="20"/>
          <w:color w:val="545454"/>
        </w:rPr>
        <w:t>1,</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D2D2D"/>
        </w:rPr>
        <w:t>2013 and</w:t>
      </w:r>
      <w:r>
        <w:rPr>
          <w:rFonts w:ascii="Times New Roman" w:cs="Times New Roman" w:eastAsia="Times New Roman" w:hAnsi="Times New Roman"/>
          <w:sz w:val="20"/>
          <w:szCs w:val="20"/>
          <w:color w:val="3F3F3F"/>
        </w:rPr>
        <w:t xml:space="preserve"> shall continue </w:t>
      </w:r>
      <w:r>
        <w:rPr>
          <w:rFonts w:ascii="Times New Roman" w:cs="Times New Roman" w:eastAsia="Times New Roman" w:hAnsi="Times New Roman"/>
          <w:sz w:val="20"/>
          <w:szCs w:val="20"/>
          <w:color w:val="2D2D2D"/>
        </w:rPr>
        <w:t>in</w:t>
      </w:r>
      <w:r>
        <w:rPr>
          <w:rFonts w:ascii="Times New Roman" w:cs="Times New Roman" w:eastAsia="Times New Roman" w:hAnsi="Times New Roman"/>
          <w:sz w:val="20"/>
          <w:szCs w:val="20"/>
          <w:color w:val="3F3F3F"/>
        </w:rPr>
        <w:t xml:space="preserve"> effect until terminated </w:t>
      </w:r>
      <w:r>
        <w:rPr>
          <w:rFonts w:ascii="Times New Roman" w:cs="Times New Roman" w:eastAsia="Times New Roman" w:hAnsi="Times New Roman"/>
          <w:sz w:val="20"/>
          <w:szCs w:val="20"/>
          <w:color w:val="2D2D2D"/>
        </w:rPr>
        <w:t>in</w:t>
      </w:r>
      <w:r>
        <w:rPr>
          <w:rFonts w:ascii="Times New Roman" w:cs="Times New Roman" w:eastAsia="Times New Roman" w:hAnsi="Times New Roman"/>
          <w:sz w:val="20"/>
          <w:szCs w:val="20"/>
          <w:color w:val="3F3F3F"/>
        </w:rPr>
        <w:t xml:space="preserve"> accordance </w:t>
      </w:r>
      <w:r>
        <w:rPr>
          <w:rFonts w:ascii="Times New Roman" w:cs="Times New Roman" w:eastAsia="Times New Roman" w:hAnsi="Times New Roman"/>
          <w:sz w:val="20"/>
          <w:szCs w:val="20"/>
          <w:color w:val="2D2D2D"/>
        </w:rPr>
        <w:t>with</w:t>
      </w:r>
      <w:r>
        <w:rPr>
          <w:rFonts w:ascii="Times New Roman" w:cs="Times New Roman" w:eastAsia="Times New Roman" w:hAnsi="Times New Roman"/>
          <w:sz w:val="20"/>
          <w:szCs w:val="20"/>
          <w:color w:val="3F3F3F"/>
        </w:rPr>
        <w:t xml:space="preserve"> Section 5 or any other provision of the Agreement.</w:t>
      </w:r>
    </w:p>
    <w:p>
      <w:pPr>
        <w:spacing w:after="0" w:line="146" w:lineRule="exact"/>
        <w:rPr>
          <w:rFonts w:ascii="Times New Roman" w:cs="Times New Roman" w:eastAsia="Times New Roman" w:hAnsi="Times New Roman"/>
          <w:sz w:val="20"/>
          <w:szCs w:val="20"/>
          <w:color w:val="auto"/>
        </w:rPr>
      </w:pPr>
    </w:p>
    <w:p>
      <w:pPr>
        <w:ind w:left="1300" w:hanging="642"/>
        <w:spacing w:after="0"/>
        <w:tabs>
          <w:tab w:leader="none" w:pos="1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POSITION AND DUTIES.</w:t>
      </w:r>
    </w:p>
    <w:p>
      <w:pPr>
        <w:spacing w:after="0" w:line="2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3F3F3F"/>
        </w:rPr>
        <w:t xml:space="preserve">The Executive </w:t>
      </w:r>
      <w:r>
        <w:rPr>
          <w:rFonts w:ascii="Times New Roman" w:cs="Times New Roman" w:eastAsia="Times New Roman" w:hAnsi="Times New Roman"/>
          <w:sz w:val="20"/>
          <w:szCs w:val="20"/>
          <w:color w:val="2D2D2D"/>
        </w:rPr>
        <w:t>shall serve</w:t>
      </w:r>
      <w:r>
        <w:rPr>
          <w:rFonts w:ascii="Times New Roman" w:cs="Times New Roman" w:eastAsia="Times New Roman" w:hAnsi="Times New Roman"/>
          <w:sz w:val="20"/>
          <w:szCs w:val="20"/>
          <w:color w:val="3F3F3F"/>
        </w:rPr>
        <w:t xml:space="preserve"> as a Senior Vice President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Company </w:t>
      </w:r>
      <w:r>
        <w:rPr>
          <w:rFonts w:ascii="Times New Roman" w:cs="Times New Roman" w:eastAsia="Times New Roman" w:hAnsi="Times New Roman"/>
          <w:sz w:val="20"/>
          <w:szCs w:val="20"/>
          <w:color w:val="2D2D2D"/>
        </w:rPr>
        <w:t>and</w:t>
      </w:r>
      <w:r>
        <w:rPr>
          <w:rFonts w:ascii="Times New Roman" w:cs="Times New Roman" w:eastAsia="Times New Roman" w:hAnsi="Times New Roman"/>
          <w:sz w:val="20"/>
          <w:szCs w:val="20"/>
          <w:color w:val="3F3F3F"/>
        </w:rPr>
        <w:t xml:space="preserve"> shall </w:t>
      </w:r>
      <w:r>
        <w:rPr>
          <w:rFonts w:ascii="Times New Roman" w:cs="Times New Roman" w:eastAsia="Times New Roman" w:hAnsi="Times New Roman"/>
          <w:sz w:val="20"/>
          <w:szCs w:val="20"/>
          <w:color w:val="2D2D2D"/>
        </w:rPr>
        <w:t>perform such</w:t>
      </w:r>
      <w:r>
        <w:rPr>
          <w:rFonts w:ascii="Times New Roman" w:cs="Times New Roman" w:eastAsia="Times New Roman" w:hAnsi="Times New Roman"/>
          <w:sz w:val="20"/>
          <w:szCs w:val="20"/>
          <w:color w:val="3F3F3F"/>
        </w:rPr>
        <w:t xml:space="preserve"> duties </w:t>
      </w:r>
      <w:r>
        <w:rPr>
          <w:rFonts w:ascii="Times New Roman" w:cs="Times New Roman" w:eastAsia="Times New Roman" w:hAnsi="Times New Roman"/>
          <w:sz w:val="20"/>
          <w:szCs w:val="20"/>
          <w:color w:val="2D2D2D"/>
        </w:rPr>
        <w:t>and responsibilities</w:t>
      </w:r>
      <w:r>
        <w:rPr>
          <w:rFonts w:ascii="Times New Roman" w:cs="Times New Roman" w:eastAsia="Times New Roman" w:hAnsi="Times New Roman"/>
          <w:sz w:val="20"/>
          <w:szCs w:val="20"/>
          <w:color w:val="3F3F3F"/>
        </w:rPr>
        <w:t xml:space="preserve"> as </w:t>
      </w:r>
      <w:r>
        <w:rPr>
          <w:rFonts w:ascii="Times New Roman" w:cs="Times New Roman" w:eastAsia="Times New Roman" w:hAnsi="Times New Roman"/>
          <w:sz w:val="20"/>
          <w:szCs w:val="20"/>
          <w:color w:val="2D2D2D"/>
        </w:rPr>
        <w:t>may from</w:t>
      </w:r>
      <w:r>
        <w:rPr>
          <w:rFonts w:ascii="Times New Roman" w:cs="Times New Roman" w:eastAsia="Times New Roman" w:hAnsi="Times New Roman"/>
          <w:sz w:val="20"/>
          <w:szCs w:val="20"/>
          <w:color w:val="3F3F3F"/>
        </w:rPr>
        <w:t xml:space="preserve"> time </w:t>
      </w:r>
      <w:r>
        <w:rPr>
          <w:rFonts w:ascii="Times New Roman" w:cs="Times New Roman" w:eastAsia="Times New Roman" w:hAnsi="Times New Roman"/>
          <w:sz w:val="20"/>
          <w:szCs w:val="20"/>
          <w:color w:val="2D2D2D"/>
        </w:rPr>
        <w:t>to time be</w:t>
      </w:r>
      <w:r>
        <w:rPr>
          <w:rFonts w:ascii="Times New Roman" w:cs="Times New Roman" w:eastAsia="Times New Roman" w:hAnsi="Times New Roman"/>
          <w:sz w:val="20"/>
          <w:szCs w:val="20"/>
          <w:color w:val="3F3F3F"/>
        </w:rPr>
        <w:t xml:space="preserve"> prescribed by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Company</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F3F3F"/>
        </w:rPr>
        <w:t xml:space="preserve"> s </w:t>
      </w:r>
      <w:r>
        <w:rPr>
          <w:rFonts w:ascii="Times New Roman" w:cs="Times New Roman" w:eastAsia="Times New Roman" w:hAnsi="Times New Roman"/>
          <w:sz w:val="20"/>
          <w:szCs w:val="20"/>
          <w:color w:val="2D2D2D"/>
        </w:rPr>
        <w:t>board</w:t>
      </w:r>
      <w:r>
        <w:rPr>
          <w:rFonts w:ascii="Times New Roman" w:cs="Times New Roman" w:eastAsia="Times New Roman" w:hAnsi="Times New Roman"/>
          <w:sz w:val="20"/>
          <w:szCs w:val="20"/>
          <w:color w:val="3F3F3F"/>
        </w:rPr>
        <w:t xml:space="preserve"> of directors (the "Board"), provided </w:t>
      </w:r>
      <w:r>
        <w:rPr>
          <w:rFonts w:ascii="Times New Roman" w:cs="Times New Roman" w:eastAsia="Times New Roman" w:hAnsi="Times New Roman"/>
          <w:sz w:val="20"/>
          <w:szCs w:val="20"/>
          <w:color w:val="2D2D2D"/>
        </w:rPr>
        <w:t>that such duties</w:t>
      </w:r>
      <w:r>
        <w:rPr>
          <w:rFonts w:ascii="Times New Roman" w:cs="Times New Roman" w:eastAsia="Times New Roman" w:hAnsi="Times New Roman"/>
          <w:sz w:val="20"/>
          <w:szCs w:val="20"/>
          <w:color w:val="3F3F3F"/>
        </w:rPr>
        <w:t xml:space="preserve"> and </w:t>
      </w:r>
      <w:r>
        <w:rPr>
          <w:rFonts w:ascii="Times New Roman" w:cs="Times New Roman" w:eastAsia="Times New Roman" w:hAnsi="Times New Roman"/>
          <w:sz w:val="20"/>
          <w:szCs w:val="20"/>
          <w:color w:val="2D2D2D"/>
        </w:rPr>
        <w:t>responsibilities</w:t>
      </w:r>
      <w:r>
        <w:rPr>
          <w:rFonts w:ascii="Times New Roman" w:cs="Times New Roman" w:eastAsia="Times New Roman" w:hAnsi="Times New Roman"/>
          <w:sz w:val="20"/>
          <w:szCs w:val="20"/>
          <w:color w:val="3F3F3F"/>
        </w:rPr>
        <w:t xml:space="preserve"> are consistent with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Executive's position. The Executive </w:t>
      </w:r>
      <w:r>
        <w:rPr>
          <w:rFonts w:ascii="Times New Roman" w:cs="Times New Roman" w:eastAsia="Times New Roman" w:hAnsi="Times New Roman"/>
          <w:sz w:val="20"/>
          <w:szCs w:val="20"/>
          <w:color w:val="2D2D2D"/>
        </w:rPr>
        <w:t>shall</w:t>
      </w:r>
      <w:r>
        <w:rPr>
          <w:rFonts w:ascii="Times New Roman" w:cs="Times New Roman" w:eastAsia="Times New Roman" w:hAnsi="Times New Roman"/>
          <w:sz w:val="20"/>
          <w:szCs w:val="20"/>
          <w:color w:val="3F3F3F"/>
        </w:rPr>
        <w:t xml:space="preserve"> perform </w:t>
      </w:r>
      <w:r>
        <w:rPr>
          <w:rFonts w:ascii="Times New Roman" w:cs="Times New Roman" w:eastAsia="Times New Roman" w:hAnsi="Times New Roman"/>
          <w:sz w:val="20"/>
          <w:szCs w:val="20"/>
          <w:color w:val="2D2D2D"/>
        </w:rPr>
        <w:t>and</w:t>
      </w:r>
      <w:r>
        <w:rPr>
          <w:rFonts w:ascii="Times New Roman" w:cs="Times New Roman" w:eastAsia="Times New Roman" w:hAnsi="Times New Roman"/>
          <w:sz w:val="20"/>
          <w:szCs w:val="20"/>
          <w:color w:val="3F3F3F"/>
        </w:rPr>
        <w:t xml:space="preserve"> discharge faithfully, </w:t>
      </w:r>
      <w:r>
        <w:rPr>
          <w:rFonts w:ascii="Times New Roman" w:cs="Times New Roman" w:eastAsia="Times New Roman" w:hAnsi="Times New Roman"/>
          <w:sz w:val="20"/>
          <w:szCs w:val="20"/>
          <w:color w:val="2D2D2D"/>
        </w:rPr>
        <w:t>diligently and to</w:t>
      </w:r>
      <w:r>
        <w:rPr>
          <w:rFonts w:ascii="Times New Roman" w:cs="Times New Roman" w:eastAsia="Times New Roman" w:hAnsi="Times New Roman"/>
          <w:sz w:val="20"/>
          <w:szCs w:val="20"/>
          <w:color w:val="3F3F3F"/>
        </w:rPr>
        <w:t xml:space="preserve"> the best of his ability </w:t>
      </w:r>
      <w:r>
        <w:rPr>
          <w:rFonts w:ascii="Times New Roman" w:cs="Times New Roman" w:eastAsia="Times New Roman" w:hAnsi="Times New Roman"/>
          <w:sz w:val="20"/>
          <w:szCs w:val="20"/>
          <w:color w:val="2D2D2D"/>
        </w:rPr>
        <w:t>such</w:t>
      </w:r>
      <w:r>
        <w:rPr>
          <w:rFonts w:ascii="Times New Roman" w:cs="Times New Roman" w:eastAsia="Times New Roman" w:hAnsi="Times New Roman"/>
          <w:sz w:val="20"/>
          <w:szCs w:val="20"/>
          <w:color w:val="3F3F3F"/>
        </w:rPr>
        <w:t xml:space="preserve"> duties and responsibilities and </w:t>
      </w:r>
      <w:r>
        <w:rPr>
          <w:rFonts w:ascii="Times New Roman" w:cs="Times New Roman" w:eastAsia="Times New Roman" w:hAnsi="Times New Roman"/>
          <w:sz w:val="20"/>
          <w:szCs w:val="20"/>
          <w:color w:val="2D2D2D"/>
        </w:rPr>
        <w:t>shall</w:t>
      </w:r>
      <w:r>
        <w:rPr>
          <w:rFonts w:ascii="Times New Roman" w:cs="Times New Roman" w:eastAsia="Times New Roman" w:hAnsi="Times New Roman"/>
          <w:sz w:val="20"/>
          <w:szCs w:val="20"/>
          <w:color w:val="3F3F3F"/>
        </w:rPr>
        <w:t xml:space="preserve"> devote all of his working time and efforts to the business </w:t>
      </w:r>
      <w:r>
        <w:rPr>
          <w:rFonts w:ascii="Times New Roman" w:cs="Times New Roman" w:eastAsia="Times New Roman" w:hAnsi="Times New Roman"/>
          <w:sz w:val="20"/>
          <w:szCs w:val="20"/>
          <w:color w:val="2D2D2D"/>
        </w:rPr>
        <w:t>and</w:t>
      </w:r>
      <w:r>
        <w:rPr>
          <w:rFonts w:ascii="Times New Roman" w:cs="Times New Roman" w:eastAsia="Times New Roman" w:hAnsi="Times New Roman"/>
          <w:sz w:val="20"/>
          <w:szCs w:val="20"/>
          <w:color w:val="3F3F3F"/>
        </w:rPr>
        <w:t xml:space="preserve"> affairs of the Company and its affiliates. During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two (2) years following a Change in Control (as defined herein), the Executive's </w:t>
      </w:r>
      <w:r>
        <w:rPr>
          <w:rFonts w:ascii="Times New Roman" w:cs="Times New Roman" w:eastAsia="Times New Roman" w:hAnsi="Times New Roman"/>
          <w:sz w:val="20"/>
          <w:szCs w:val="20"/>
          <w:color w:val="2D2D2D"/>
        </w:rPr>
        <w:t>position</w:t>
      </w:r>
      <w:r>
        <w:rPr>
          <w:rFonts w:ascii="Times New Roman" w:cs="Times New Roman" w:eastAsia="Times New Roman" w:hAnsi="Times New Roman"/>
          <w:sz w:val="20"/>
          <w:szCs w:val="20"/>
          <w:color w:val="3F3F3F"/>
        </w:rPr>
        <w:t xml:space="preserve"> (including offices, </w:t>
      </w:r>
      <w:r>
        <w:rPr>
          <w:rFonts w:ascii="Times New Roman" w:cs="Times New Roman" w:eastAsia="Times New Roman" w:hAnsi="Times New Roman"/>
          <w:sz w:val="20"/>
          <w:szCs w:val="20"/>
          <w:color w:val="2D2D2D"/>
        </w:rPr>
        <w:t>titles</w:t>
      </w:r>
      <w:r>
        <w:rPr>
          <w:rFonts w:ascii="Times New Roman" w:cs="Times New Roman" w:eastAsia="Times New Roman" w:hAnsi="Times New Roman"/>
          <w:sz w:val="20"/>
          <w:szCs w:val="20"/>
          <w:color w:val="3F3F3F"/>
        </w:rPr>
        <w:t xml:space="preserve"> and reporting </w:t>
      </w:r>
      <w:r>
        <w:rPr>
          <w:rFonts w:ascii="Times New Roman" w:cs="Times New Roman" w:eastAsia="Times New Roman" w:hAnsi="Times New Roman"/>
          <w:sz w:val="20"/>
          <w:szCs w:val="20"/>
          <w:color w:val="545454"/>
        </w:rPr>
        <w:t>requir</w:t>
      </w:r>
      <w:r>
        <w:rPr>
          <w:rFonts w:ascii="Times New Roman" w:cs="Times New Roman" w:eastAsia="Times New Roman" w:hAnsi="Times New Roman"/>
          <w:sz w:val="20"/>
          <w:szCs w:val="20"/>
          <w:color w:val="2D2D2D"/>
        </w:rPr>
        <w:t>ements)</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F3F3F"/>
        </w:rPr>
        <w:t xml:space="preserve"> duties, and responsibilities shall </w:t>
      </w:r>
      <w:r>
        <w:rPr>
          <w:rFonts w:ascii="Times New Roman" w:cs="Times New Roman" w:eastAsia="Times New Roman" w:hAnsi="Times New Roman"/>
          <w:sz w:val="20"/>
          <w:szCs w:val="20"/>
          <w:color w:val="2D2D2D"/>
        </w:rPr>
        <w:t>not</w:t>
      </w:r>
      <w:r>
        <w:rPr>
          <w:rFonts w:ascii="Times New Roman" w:cs="Times New Roman" w:eastAsia="Times New Roman" w:hAnsi="Times New Roman"/>
          <w:sz w:val="20"/>
          <w:szCs w:val="20"/>
          <w:color w:val="3F3F3F"/>
        </w:rPr>
        <w:t xml:space="preserve"> be </w:t>
      </w:r>
      <w:r>
        <w:rPr>
          <w:rFonts w:ascii="Times New Roman" w:cs="Times New Roman" w:eastAsia="Times New Roman" w:hAnsi="Times New Roman"/>
          <w:sz w:val="20"/>
          <w:szCs w:val="20"/>
          <w:color w:val="2D2D2D"/>
        </w:rPr>
        <w:t>reduced, and the</w:t>
      </w:r>
      <w:r>
        <w:rPr>
          <w:rFonts w:ascii="Times New Roman" w:cs="Times New Roman" w:eastAsia="Times New Roman" w:hAnsi="Times New Roman"/>
          <w:sz w:val="20"/>
          <w:szCs w:val="20"/>
          <w:color w:val="3F3F3F"/>
        </w:rPr>
        <w:t xml:space="preserve"> Executive shall not be required to work at a </w:t>
      </w:r>
      <w:r>
        <w:rPr>
          <w:rFonts w:ascii="Times New Roman" w:cs="Times New Roman" w:eastAsia="Times New Roman" w:hAnsi="Times New Roman"/>
          <w:sz w:val="20"/>
          <w:szCs w:val="20"/>
          <w:color w:val="2D2D2D"/>
        </w:rPr>
        <w:t>locat</w:t>
      </w:r>
      <w:r>
        <w:rPr>
          <w:rFonts w:ascii="Times New Roman" w:cs="Times New Roman" w:eastAsia="Times New Roman" w:hAnsi="Times New Roman"/>
          <w:sz w:val="20"/>
          <w:szCs w:val="20"/>
          <w:color w:val="545454"/>
        </w:rPr>
        <w:t>ion</w:t>
      </w:r>
      <w:r>
        <w:rPr>
          <w:rFonts w:ascii="Times New Roman" w:cs="Times New Roman" w:eastAsia="Times New Roman" w:hAnsi="Times New Roman"/>
          <w:sz w:val="20"/>
          <w:szCs w:val="20"/>
          <w:color w:val="3F3F3F"/>
        </w:rPr>
        <w:t xml:space="preserve"> other than the location at which the Executive was </w:t>
      </w:r>
      <w:r>
        <w:rPr>
          <w:rFonts w:ascii="Times New Roman" w:cs="Times New Roman" w:eastAsia="Times New Roman" w:hAnsi="Times New Roman"/>
          <w:sz w:val="20"/>
          <w:szCs w:val="20"/>
          <w:color w:val="2D2D2D"/>
        </w:rPr>
        <w:t>based at the</w:t>
      </w:r>
      <w:r>
        <w:rPr>
          <w:rFonts w:ascii="Times New Roman" w:cs="Times New Roman" w:eastAsia="Times New Roman" w:hAnsi="Times New Roman"/>
          <w:sz w:val="20"/>
          <w:szCs w:val="20"/>
          <w:color w:val="3F3F3F"/>
        </w:rPr>
        <w:t xml:space="preserve"> time of the Change in Control.</w:t>
      </w:r>
    </w:p>
    <w:p>
      <w:pPr>
        <w:spacing w:after="0" w:line="187" w:lineRule="exact"/>
        <w:rPr>
          <w:sz w:val="20"/>
          <w:szCs w:val="20"/>
          <w:color w:val="auto"/>
        </w:rPr>
      </w:pPr>
    </w:p>
    <w:p>
      <w:pPr>
        <w:ind w:left="1300" w:hanging="642"/>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COMPENSATION.</w:t>
      </w:r>
    </w:p>
    <w:p>
      <w:pPr>
        <w:spacing w:after="0" w:line="242" w:lineRule="exact"/>
        <w:rPr>
          <w:rFonts w:ascii="Times New Roman" w:cs="Times New Roman" w:eastAsia="Times New Roman" w:hAnsi="Times New Roman"/>
          <w:sz w:val="20"/>
          <w:szCs w:val="20"/>
          <w:color w:val="auto"/>
        </w:rPr>
      </w:pPr>
    </w:p>
    <w:p>
      <w:pPr>
        <w:ind w:right="120" w:firstLine="1306"/>
        <w:spacing w:after="0" w:line="275" w:lineRule="auto"/>
        <w:tabs>
          <w:tab w:leader="none" w:pos="169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 xml:space="preserve">BASE SALARY. The Company </w:t>
      </w:r>
      <w:r>
        <w:rPr>
          <w:rFonts w:ascii="Times New Roman" w:cs="Times New Roman" w:eastAsia="Times New Roman" w:hAnsi="Times New Roman"/>
          <w:sz w:val="20"/>
          <w:szCs w:val="20"/>
          <w:color w:val="2D2D2D"/>
        </w:rPr>
        <w:t>shall pa</w:t>
      </w:r>
      <w:r>
        <w:rPr>
          <w:rFonts w:ascii="Times New Roman" w:cs="Times New Roman" w:eastAsia="Times New Roman" w:hAnsi="Times New Roman"/>
          <w:sz w:val="20"/>
          <w:szCs w:val="20"/>
          <w:color w:val="545454"/>
        </w:rPr>
        <w:t>y</w:t>
      </w:r>
      <w:r>
        <w:rPr>
          <w:rFonts w:ascii="Times New Roman" w:cs="Times New Roman" w:eastAsia="Times New Roman" w:hAnsi="Times New Roman"/>
          <w:sz w:val="20"/>
          <w:szCs w:val="20"/>
          <w:color w:val="3F3F3F"/>
        </w:rPr>
        <w:t xml:space="preserve"> to the Executive an annual base salary ("Base Salary") of $425,000 U.S. Dollars </w:t>
      </w:r>
      <w:r>
        <w:rPr>
          <w:rFonts w:ascii="Times New Roman" w:cs="Times New Roman" w:eastAsia="Times New Roman" w:hAnsi="Times New Roman"/>
          <w:sz w:val="20"/>
          <w:szCs w:val="20"/>
          <w:color w:val="2D2D2D"/>
        </w:rPr>
        <w:t>payable</w:t>
      </w:r>
      <w:r>
        <w:rPr>
          <w:rFonts w:ascii="Times New Roman" w:cs="Times New Roman" w:eastAsia="Times New Roman" w:hAnsi="Times New Roman"/>
          <w:sz w:val="20"/>
          <w:szCs w:val="20"/>
          <w:color w:val="3F3F3F"/>
        </w:rPr>
        <w:t xml:space="preserve"> in equal semi-monthly installments throughout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term of such employment subject </w:t>
      </w:r>
      <w:r>
        <w:rPr>
          <w:rFonts w:ascii="Times New Roman" w:cs="Times New Roman" w:eastAsia="Times New Roman" w:hAnsi="Times New Roman"/>
          <w:sz w:val="20"/>
          <w:szCs w:val="20"/>
          <w:color w:val="2D2D2D"/>
        </w:rPr>
        <w:t>to</w:t>
      </w:r>
      <w:r>
        <w:rPr>
          <w:rFonts w:ascii="Times New Roman" w:cs="Times New Roman" w:eastAsia="Times New Roman" w:hAnsi="Times New Roman"/>
          <w:sz w:val="20"/>
          <w:szCs w:val="20"/>
          <w:color w:val="3F3F3F"/>
        </w:rPr>
        <w:t xml:space="preserve"> Section 5 hereof (</w:t>
      </w:r>
      <w:r>
        <w:rPr>
          <w:rFonts w:ascii="Times New Roman" w:cs="Times New Roman" w:eastAsia="Times New Roman" w:hAnsi="Times New Roman"/>
          <w:sz w:val="20"/>
          <w:szCs w:val="20"/>
          <w:color w:val="545454"/>
        </w:rPr>
        <w:t>except</w:t>
      </w:r>
      <w:r>
        <w:rPr>
          <w:rFonts w:ascii="Times New Roman" w:cs="Times New Roman" w:eastAsia="Times New Roman" w:hAnsi="Times New Roman"/>
          <w:sz w:val="20"/>
          <w:szCs w:val="20"/>
          <w:color w:val="3F3F3F"/>
        </w:rPr>
        <w:t xml:space="preserve"> that the first and last semi-monthly </w:t>
      </w:r>
      <w:r>
        <w:rPr>
          <w:rFonts w:ascii="Times New Roman" w:cs="Times New Roman" w:eastAsia="Times New Roman" w:hAnsi="Times New Roman"/>
          <w:sz w:val="20"/>
          <w:szCs w:val="20"/>
          <w:color w:val="545454"/>
        </w:rPr>
        <w:t>installments</w:t>
      </w:r>
      <w:r>
        <w:rPr>
          <w:rFonts w:ascii="Times New Roman" w:cs="Times New Roman" w:eastAsia="Times New Roman" w:hAnsi="Times New Roman"/>
          <w:sz w:val="20"/>
          <w:szCs w:val="20"/>
          <w:color w:val="3F3F3F"/>
        </w:rPr>
        <w:t xml:space="preserve"> may </w:t>
      </w:r>
      <w:r>
        <w:rPr>
          <w:rFonts w:ascii="Times New Roman" w:cs="Times New Roman" w:eastAsia="Times New Roman" w:hAnsi="Times New Roman"/>
          <w:sz w:val="20"/>
          <w:szCs w:val="20"/>
          <w:color w:val="2D2D2D"/>
        </w:rPr>
        <w:t>be</w:t>
      </w:r>
      <w:r>
        <w:rPr>
          <w:rFonts w:ascii="Times New Roman" w:cs="Times New Roman" w:eastAsia="Times New Roman" w:hAnsi="Times New Roman"/>
          <w:sz w:val="20"/>
          <w:szCs w:val="20"/>
          <w:color w:val="3F3F3F"/>
        </w:rPr>
        <w:t xml:space="preserve"> prorated, if necessary) </w:t>
      </w:r>
      <w:r>
        <w:rPr>
          <w:rFonts w:ascii="Times New Roman" w:cs="Times New Roman" w:eastAsia="Times New Roman" w:hAnsi="Times New Roman"/>
          <w:sz w:val="20"/>
          <w:szCs w:val="20"/>
          <w:color w:val="545454"/>
        </w:rPr>
        <w:t>a</w:t>
      </w:r>
      <w:r>
        <w:rPr>
          <w:rFonts w:ascii="Times New Roman" w:cs="Times New Roman" w:eastAsia="Times New Roman" w:hAnsi="Times New Roman"/>
          <w:sz w:val="20"/>
          <w:szCs w:val="20"/>
          <w:color w:val="2D2D2D"/>
        </w:rPr>
        <w:t>nd</w:t>
      </w:r>
      <w:r>
        <w:rPr>
          <w:rFonts w:ascii="Times New Roman" w:cs="Times New Roman" w:eastAsia="Times New Roman" w:hAnsi="Times New Roman"/>
          <w:sz w:val="20"/>
          <w:szCs w:val="20"/>
          <w:color w:val="3F3F3F"/>
        </w:rPr>
        <w:t xml:space="preserve"> subject </w:t>
      </w:r>
      <w:r>
        <w:rPr>
          <w:rFonts w:ascii="Times New Roman" w:cs="Times New Roman" w:eastAsia="Times New Roman" w:hAnsi="Times New Roman"/>
          <w:sz w:val="20"/>
          <w:szCs w:val="20"/>
          <w:color w:val="2D2D2D"/>
        </w:rPr>
        <w:t>to</w:t>
      </w:r>
      <w:r>
        <w:rPr>
          <w:rFonts w:ascii="Times New Roman" w:cs="Times New Roman" w:eastAsia="Times New Roman" w:hAnsi="Times New Roman"/>
          <w:sz w:val="20"/>
          <w:szCs w:val="20"/>
          <w:color w:val="3F3F3F"/>
        </w:rPr>
        <w:t xml:space="preserve"> applicable tax and payroll deductions. The Company shall consider increases </w:t>
      </w:r>
      <w:r>
        <w:rPr>
          <w:rFonts w:ascii="Times New Roman" w:cs="Times New Roman" w:eastAsia="Times New Roman" w:hAnsi="Times New Roman"/>
          <w:sz w:val="20"/>
          <w:szCs w:val="20"/>
          <w:color w:val="2D2D2D"/>
        </w:rPr>
        <w:t>in the</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545454"/>
        </w:rPr>
        <w:t>Execu</w:t>
      </w:r>
      <w:r>
        <w:rPr>
          <w:rFonts w:ascii="Times New Roman" w:cs="Times New Roman" w:eastAsia="Times New Roman" w:hAnsi="Times New Roman"/>
          <w:sz w:val="20"/>
          <w:szCs w:val="20"/>
          <w:color w:val="2D2D2D"/>
        </w:rPr>
        <w:t>tive</w:t>
      </w:r>
      <w:r>
        <w:rPr>
          <w:rFonts w:ascii="Times New Roman" w:cs="Times New Roman" w:eastAsia="Times New Roman" w:hAnsi="Times New Roman"/>
          <w:sz w:val="20"/>
          <w:szCs w:val="20"/>
          <w:color w:val="545454"/>
        </w:rPr>
        <w:t>'s</w:t>
      </w:r>
      <w:r>
        <w:rPr>
          <w:rFonts w:ascii="Times New Roman" w:cs="Times New Roman" w:eastAsia="Times New Roman" w:hAnsi="Times New Roman"/>
          <w:sz w:val="20"/>
          <w:szCs w:val="20"/>
          <w:color w:val="3F3F3F"/>
        </w:rPr>
        <w:t xml:space="preserve"> Base Salary annually</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F3F3F"/>
        </w:rPr>
        <w:t xml:space="preserve"> and any such </w:t>
      </w:r>
      <w:r>
        <w:rPr>
          <w:rFonts w:ascii="Times New Roman" w:cs="Times New Roman" w:eastAsia="Times New Roman" w:hAnsi="Times New Roman"/>
          <w:sz w:val="20"/>
          <w:szCs w:val="20"/>
          <w:color w:val="2D2D2D"/>
        </w:rPr>
        <w:t>increase</w:t>
      </w:r>
      <w:r>
        <w:rPr>
          <w:rFonts w:ascii="Times New Roman" w:cs="Times New Roman" w:eastAsia="Times New Roman" w:hAnsi="Times New Roman"/>
          <w:sz w:val="20"/>
          <w:szCs w:val="20"/>
          <w:color w:val="3F3F3F"/>
        </w:rPr>
        <w:t xml:space="preserve"> in </w:t>
      </w:r>
      <w:r>
        <w:rPr>
          <w:rFonts w:ascii="Times New Roman" w:cs="Times New Roman" w:eastAsia="Times New Roman" w:hAnsi="Times New Roman"/>
          <w:sz w:val="20"/>
          <w:szCs w:val="20"/>
          <w:color w:val="2D2D2D"/>
        </w:rPr>
        <w:t>salary implemen</w:t>
      </w:r>
      <w:r>
        <w:rPr>
          <w:rFonts w:ascii="Times New Roman" w:cs="Times New Roman" w:eastAsia="Times New Roman" w:hAnsi="Times New Roman"/>
          <w:sz w:val="20"/>
          <w:szCs w:val="20"/>
          <w:color w:val="545454"/>
        </w:rPr>
        <w:t>ted</w:t>
      </w:r>
      <w:r>
        <w:rPr>
          <w:rFonts w:ascii="Times New Roman" w:cs="Times New Roman" w:eastAsia="Times New Roman" w:hAnsi="Times New Roman"/>
          <w:sz w:val="20"/>
          <w:szCs w:val="20"/>
          <w:color w:val="3F3F3F"/>
        </w:rPr>
        <w:t xml:space="preserve"> by the </w:t>
      </w:r>
      <w:r>
        <w:rPr>
          <w:rFonts w:ascii="Times New Roman" w:cs="Times New Roman" w:eastAsia="Times New Roman" w:hAnsi="Times New Roman"/>
          <w:sz w:val="20"/>
          <w:szCs w:val="20"/>
          <w:color w:val="545454"/>
        </w:rPr>
        <w:t>Com</w:t>
      </w:r>
      <w:r>
        <w:rPr>
          <w:rFonts w:ascii="Times New Roman" w:cs="Times New Roman" w:eastAsia="Times New Roman" w:hAnsi="Times New Roman"/>
          <w:sz w:val="20"/>
          <w:szCs w:val="20"/>
          <w:color w:val="2D2D2D"/>
        </w:rPr>
        <w:t>p</w:t>
      </w:r>
      <w:r>
        <w:rPr>
          <w:rFonts w:ascii="Times New Roman" w:cs="Times New Roman" w:eastAsia="Times New Roman" w:hAnsi="Times New Roman"/>
          <w:sz w:val="20"/>
          <w:szCs w:val="20"/>
          <w:color w:val="545454"/>
        </w:rPr>
        <w:t>any</w:t>
      </w:r>
      <w:r>
        <w:rPr>
          <w:rFonts w:ascii="Times New Roman" w:cs="Times New Roman" w:eastAsia="Times New Roman" w:hAnsi="Times New Roman"/>
          <w:sz w:val="20"/>
          <w:szCs w:val="20"/>
          <w:color w:val="3F3F3F"/>
        </w:rPr>
        <w:t xml:space="preserve"> shall become the </w:t>
      </w:r>
      <w:r>
        <w:rPr>
          <w:rFonts w:ascii="Times New Roman" w:cs="Times New Roman" w:eastAsia="Times New Roman" w:hAnsi="Times New Roman"/>
          <w:sz w:val="20"/>
          <w:szCs w:val="20"/>
          <w:color w:val="545454"/>
        </w:rPr>
        <w:t>Execu</w:t>
      </w:r>
      <w:r>
        <w:rPr>
          <w:rFonts w:ascii="Times New Roman" w:cs="Times New Roman" w:eastAsia="Times New Roman" w:hAnsi="Times New Roman"/>
          <w:sz w:val="20"/>
          <w:szCs w:val="20"/>
          <w:color w:val="2D2D2D"/>
        </w:rPr>
        <w:t>tive' s</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3F3F3F"/>
        </w:rPr>
        <w:t>Base Salary for purposes of this Agreement.</w:t>
      </w:r>
    </w:p>
    <w:p>
      <w:pPr>
        <w:spacing w:after="0" w:line="195" w:lineRule="exact"/>
        <w:rPr>
          <w:rFonts w:ascii="Times New Roman" w:cs="Times New Roman" w:eastAsia="Times New Roman" w:hAnsi="Times New Roman"/>
          <w:sz w:val="20"/>
          <w:szCs w:val="20"/>
          <w:color w:val="auto"/>
        </w:rPr>
      </w:pPr>
    </w:p>
    <w:p>
      <w:pPr>
        <w:ind w:right="260" w:firstLine="1293"/>
        <w:spacing w:after="0" w:line="297" w:lineRule="auto"/>
        <w:tabs>
          <w:tab w:leader="none" w:pos="1707"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 xml:space="preserve">INCENTIVE </w:t>
      </w:r>
      <w:r>
        <w:rPr>
          <w:rFonts w:ascii="Times New Roman" w:cs="Times New Roman" w:eastAsia="Times New Roman" w:hAnsi="Times New Roman"/>
          <w:sz w:val="20"/>
          <w:szCs w:val="20"/>
          <w:color w:val="545454"/>
        </w:rPr>
        <w:t>COMPENSATION.</w:t>
      </w:r>
      <w:r>
        <w:rPr>
          <w:rFonts w:ascii="Times New Roman" w:cs="Times New Roman" w:eastAsia="Times New Roman" w:hAnsi="Times New Roman"/>
          <w:sz w:val="20"/>
          <w:szCs w:val="20"/>
          <w:color w:val="3F3F3F"/>
        </w:rPr>
        <w:t xml:space="preserve"> Provided Executive has duly performed his obligations pursuant to this Agreement, the Executive </w:t>
      </w:r>
      <w:r>
        <w:rPr>
          <w:rFonts w:ascii="Times New Roman" w:cs="Times New Roman" w:eastAsia="Times New Roman" w:hAnsi="Times New Roman"/>
          <w:sz w:val="20"/>
          <w:szCs w:val="20"/>
          <w:color w:val="2D2D2D"/>
        </w:rPr>
        <w:t>shall be</w:t>
      </w:r>
      <w:r>
        <w:rPr>
          <w:rFonts w:ascii="Times New Roman" w:cs="Times New Roman" w:eastAsia="Times New Roman" w:hAnsi="Times New Roman"/>
          <w:sz w:val="20"/>
          <w:szCs w:val="20"/>
          <w:color w:val="3F3F3F"/>
        </w:rPr>
        <w:t xml:space="preserve"> entitled to participate </w:t>
      </w:r>
      <w:r>
        <w:rPr>
          <w:rFonts w:ascii="Times New Roman" w:cs="Times New Roman" w:eastAsia="Times New Roman" w:hAnsi="Times New Roman"/>
          <w:sz w:val="20"/>
          <w:szCs w:val="20"/>
          <w:color w:val="545454"/>
        </w:rPr>
        <w:t>in</w:t>
      </w:r>
      <w:r>
        <w:rPr>
          <w:rFonts w:ascii="Times New Roman" w:cs="Times New Roman" w:eastAsia="Times New Roman" w:hAnsi="Times New Roman"/>
          <w:sz w:val="20"/>
          <w:szCs w:val="20"/>
          <w:color w:val="3F3F3F"/>
        </w:rPr>
        <w:t xml:space="preserve"> the</w:t>
      </w:r>
    </w:p>
    <w:p>
      <w:pPr>
        <w:sectPr>
          <w:pgSz w:w="11900" w:h="16838" w:orient="portrait"/>
          <w:cols w:equalWidth="0" w:num="1">
            <w:col w:w="11300"/>
          </w:cols>
          <w:pgMar w:left="360" w:top="374"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3F3F3F"/>
        </w:rPr>
        <w:t xml:space="preserve">Management Incentive Plan and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Long-Term Incentive </w:t>
      </w:r>
      <w:r>
        <w:rPr>
          <w:rFonts w:ascii="Times New Roman" w:cs="Times New Roman" w:eastAsia="Times New Roman" w:hAnsi="Times New Roman"/>
          <w:sz w:val="20"/>
          <w:szCs w:val="20"/>
          <w:color w:val="545454"/>
        </w:rPr>
        <w:t>P</w:t>
      </w:r>
      <w:r>
        <w:rPr>
          <w:rFonts w:ascii="Times New Roman" w:cs="Times New Roman" w:eastAsia="Times New Roman" w:hAnsi="Times New Roman"/>
          <w:sz w:val="20"/>
          <w:szCs w:val="20"/>
          <w:color w:val="2D2D2D"/>
        </w:rPr>
        <w:t>lan that</w:t>
      </w:r>
      <w:r>
        <w:rPr>
          <w:rFonts w:ascii="Times New Roman" w:cs="Times New Roman" w:eastAsia="Times New Roman" w:hAnsi="Times New Roman"/>
          <w:sz w:val="20"/>
          <w:szCs w:val="20"/>
          <w:color w:val="3F3F3F"/>
        </w:rPr>
        <w:t xml:space="preserve"> is implemented </w:t>
      </w:r>
      <w:r>
        <w:rPr>
          <w:rFonts w:ascii="Times New Roman" w:cs="Times New Roman" w:eastAsia="Times New Roman" w:hAnsi="Times New Roman"/>
          <w:sz w:val="20"/>
          <w:szCs w:val="20"/>
          <w:color w:val="2D2D2D"/>
        </w:rPr>
        <w:t>by the</w:t>
      </w:r>
      <w:r>
        <w:rPr>
          <w:rFonts w:ascii="Times New Roman" w:cs="Times New Roman" w:eastAsia="Times New Roman" w:hAnsi="Times New Roman"/>
          <w:sz w:val="20"/>
          <w:szCs w:val="20"/>
          <w:color w:val="3F3F3F"/>
        </w:rPr>
        <w:t xml:space="preserve"> Company.</w:t>
      </w:r>
    </w:p>
    <w:p>
      <w:pPr>
        <w:spacing w:after="0" w:line="243" w:lineRule="exact"/>
        <w:rPr>
          <w:sz w:val="20"/>
          <w:szCs w:val="20"/>
          <w:color w:val="auto"/>
        </w:rPr>
      </w:pPr>
    </w:p>
    <w:p>
      <w:pPr>
        <w:ind w:left="-20" w:right="120" w:firstLine="1320"/>
        <w:spacing w:after="0" w:line="297" w:lineRule="auto"/>
        <w:tabs>
          <w:tab w:leader="none" w:pos="169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SUPPLEMENTAL EMPLOYEE RETIREMENT PROGRAM</w:t>
      </w:r>
      <w:r>
        <w:rPr>
          <w:rFonts w:ascii="Times New Roman" w:cs="Times New Roman" w:eastAsia="Times New Roman" w:hAnsi="Times New Roman"/>
          <w:sz w:val="20"/>
          <w:szCs w:val="20"/>
          <w:color w:val="828282"/>
        </w:rPr>
        <w:t>.</w:t>
      </w:r>
      <w:r>
        <w:rPr>
          <w:rFonts w:ascii="Times New Roman" w:cs="Times New Roman" w:eastAsia="Times New Roman" w:hAnsi="Times New Roman"/>
          <w:sz w:val="20"/>
          <w:szCs w:val="20"/>
          <w:color w:val="3F3F3F"/>
        </w:rPr>
        <w:t xml:space="preserve"> During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term of </w:t>
      </w:r>
      <w:r>
        <w:rPr>
          <w:rFonts w:ascii="Times New Roman" w:cs="Times New Roman" w:eastAsia="Times New Roman" w:hAnsi="Times New Roman"/>
          <w:sz w:val="20"/>
          <w:szCs w:val="20"/>
          <w:color w:val="2D2D2D"/>
        </w:rPr>
        <w:t>th</w:t>
      </w:r>
      <w:r>
        <w:rPr>
          <w:rFonts w:ascii="Times New Roman" w:cs="Times New Roman" w:eastAsia="Times New Roman" w:hAnsi="Times New Roman"/>
          <w:sz w:val="20"/>
          <w:szCs w:val="20"/>
          <w:color w:val="545454"/>
        </w:rPr>
        <w:t>is</w:t>
      </w:r>
      <w:r>
        <w:rPr>
          <w:rFonts w:ascii="Times New Roman" w:cs="Times New Roman" w:eastAsia="Times New Roman" w:hAnsi="Times New Roman"/>
          <w:sz w:val="20"/>
          <w:szCs w:val="20"/>
          <w:color w:val="3F3F3F"/>
        </w:rPr>
        <w:t xml:space="preserve"> Agreement, the Executive shall be </w:t>
      </w:r>
      <w:r>
        <w:rPr>
          <w:rFonts w:ascii="Times New Roman" w:cs="Times New Roman" w:eastAsia="Times New Roman" w:hAnsi="Times New Roman"/>
          <w:sz w:val="20"/>
          <w:szCs w:val="20"/>
          <w:color w:val="2D2D2D"/>
        </w:rPr>
        <w:t>entitled</w:t>
      </w:r>
      <w:r>
        <w:rPr>
          <w:rFonts w:ascii="Times New Roman" w:cs="Times New Roman" w:eastAsia="Times New Roman" w:hAnsi="Times New Roman"/>
          <w:sz w:val="20"/>
          <w:szCs w:val="20"/>
          <w:color w:val="3F3F3F"/>
        </w:rPr>
        <w:t xml:space="preserve"> to participate in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AGCO Corporation Supplemental Executive </w:t>
      </w:r>
      <w:r>
        <w:rPr>
          <w:rFonts w:ascii="Times New Roman" w:cs="Times New Roman" w:eastAsia="Times New Roman" w:hAnsi="Times New Roman"/>
          <w:sz w:val="20"/>
          <w:szCs w:val="20"/>
          <w:color w:val="2D2D2D"/>
        </w:rPr>
        <w:t>Retirement</w:t>
      </w:r>
      <w:r>
        <w:rPr>
          <w:rFonts w:ascii="Times New Roman" w:cs="Times New Roman" w:eastAsia="Times New Roman" w:hAnsi="Times New Roman"/>
          <w:sz w:val="20"/>
          <w:szCs w:val="20"/>
          <w:color w:val="3F3F3F"/>
        </w:rPr>
        <w:t xml:space="preserve"> Plan ("SERP")</w:t>
      </w:r>
      <w:r>
        <w:rPr>
          <w:rFonts w:ascii="Times New Roman" w:cs="Times New Roman" w:eastAsia="Times New Roman" w:hAnsi="Times New Roman"/>
          <w:sz w:val="20"/>
          <w:szCs w:val="20"/>
          <w:color w:val="1A1A1A"/>
        </w:rPr>
        <w:t>.</w:t>
      </w:r>
    </w:p>
    <w:p>
      <w:pPr>
        <w:spacing w:after="0" w:line="160" w:lineRule="exact"/>
        <w:rPr>
          <w:rFonts w:ascii="Times New Roman" w:cs="Times New Roman" w:eastAsia="Times New Roman" w:hAnsi="Times New Roman"/>
          <w:sz w:val="20"/>
          <w:szCs w:val="20"/>
          <w:color w:val="auto"/>
        </w:rPr>
      </w:pPr>
    </w:p>
    <w:p>
      <w:pPr>
        <w:jc w:val="both"/>
        <w:ind w:left="-20" w:right="160" w:firstLine="1306"/>
        <w:spacing w:after="0" w:line="275" w:lineRule="auto"/>
        <w:tabs>
          <w:tab w:leader="none" w:pos="1687"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 xml:space="preserve">OTHER BENEFITS. During the </w:t>
      </w:r>
      <w:r>
        <w:rPr>
          <w:rFonts w:ascii="Times New Roman" w:cs="Times New Roman" w:eastAsia="Times New Roman" w:hAnsi="Times New Roman"/>
          <w:sz w:val="20"/>
          <w:szCs w:val="20"/>
          <w:color w:val="2D2D2D"/>
        </w:rPr>
        <w:t>term</w:t>
      </w:r>
      <w:r>
        <w:rPr>
          <w:rFonts w:ascii="Times New Roman" w:cs="Times New Roman" w:eastAsia="Times New Roman" w:hAnsi="Times New Roman"/>
          <w:sz w:val="20"/>
          <w:szCs w:val="20"/>
          <w:color w:val="3F3F3F"/>
        </w:rPr>
        <w:t xml:space="preserve"> of this Agreement</w:t>
      </w:r>
      <w:r>
        <w:rPr>
          <w:rFonts w:ascii="Times New Roman" w:cs="Times New Roman" w:eastAsia="Times New Roman" w:hAnsi="Times New Roman"/>
          <w:sz w:val="20"/>
          <w:szCs w:val="20"/>
          <w:color w:val="6B6B6B"/>
        </w:rPr>
        <w:t>,</w:t>
      </w:r>
      <w:r>
        <w:rPr>
          <w:rFonts w:ascii="Times New Roman" w:cs="Times New Roman" w:eastAsia="Times New Roman" w:hAnsi="Times New Roman"/>
          <w:sz w:val="20"/>
          <w:szCs w:val="20"/>
          <w:color w:val="3F3F3F"/>
        </w:rPr>
        <w:t xml:space="preserve"> the Executive </w:t>
      </w:r>
      <w:r>
        <w:rPr>
          <w:rFonts w:ascii="Times New Roman" w:cs="Times New Roman" w:eastAsia="Times New Roman" w:hAnsi="Times New Roman"/>
          <w:sz w:val="20"/>
          <w:szCs w:val="20"/>
          <w:color w:val="2D2D2D"/>
        </w:rPr>
        <w:t>shall be entitled</w:t>
      </w:r>
      <w:r>
        <w:rPr>
          <w:rFonts w:ascii="Times New Roman" w:cs="Times New Roman" w:eastAsia="Times New Roman" w:hAnsi="Times New Roman"/>
          <w:sz w:val="20"/>
          <w:szCs w:val="20"/>
          <w:color w:val="3F3F3F"/>
        </w:rPr>
        <w:t xml:space="preserve"> to </w:t>
      </w:r>
      <w:r>
        <w:rPr>
          <w:rFonts w:ascii="Times New Roman" w:cs="Times New Roman" w:eastAsia="Times New Roman" w:hAnsi="Times New Roman"/>
          <w:sz w:val="20"/>
          <w:szCs w:val="20"/>
          <w:color w:val="2D2D2D"/>
        </w:rPr>
        <w:t>participate in</w:t>
      </w:r>
      <w:r>
        <w:rPr>
          <w:rFonts w:ascii="Times New Roman" w:cs="Times New Roman" w:eastAsia="Times New Roman" w:hAnsi="Times New Roman"/>
          <w:sz w:val="20"/>
          <w:szCs w:val="20"/>
          <w:color w:val="3F3F3F"/>
        </w:rPr>
        <w:t xml:space="preserve"> the employee benefit plans and arrangements which are avai</w:t>
      </w:r>
      <w:r>
        <w:rPr>
          <w:rFonts w:ascii="Times New Roman" w:cs="Times New Roman" w:eastAsia="Times New Roman" w:hAnsi="Times New Roman"/>
          <w:sz w:val="20"/>
          <w:szCs w:val="20"/>
          <w:color w:val="1A1A1A"/>
        </w:rPr>
        <w:t>l</w:t>
      </w:r>
      <w:r>
        <w:rPr>
          <w:rFonts w:ascii="Times New Roman" w:cs="Times New Roman" w:eastAsia="Times New Roman" w:hAnsi="Times New Roman"/>
          <w:sz w:val="20"/>
          <w:szCs w:val="20"/>
          <w:color w:val="3F3F3F"/>
        </w:rPr>
        <w:t xml:space="preserve">able to </w:t>
      </w:r>
      <w:r>
        <w:rPr>
          <w:rFonts w:ascii="Times New Roman" w:cs="Times New Roman" w:eastAsia="Times New Roman" w:hAnsi="Times New Roman"/>
          <w:sz w:val="20"/>
          <w:szCs w:val="20"/>
          <w:color w:val="2D2D2D"/>
        </w:rPr>
        <w:t>senior executive officers</w:t>
      </w:r>
      <w:r>
        <w:rPr>
          <w:rFonts w:ascii="Times New Roman" w:cs="Times New Roman" w:eastAsia="Times New Roman" w:hAnsi="Times New Roman"/>
          <w:sz w:val="20"/>
          <w:szCs w:val="20"/>
          <w:color w:val="3F3F3F"/>
        </w:rPr>
        <w:t xml:space="preserve">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Company, </w:t>
      </w:r>
      <w:r>
        <w:rPr>
          <w:rFonts w:ascii="Times New Roman" w:cs="Times New Roman" w:eastAsia="Times New Roman" w:hAnsi="Times New Roman"/>
          <w:sz w:val="20"/>
          <w:szCs w:val="20"/>
          <w:color w:val="2D2D2D"/>
        </w:rPr>
        <w:t>including,</w:t>
      </w:r>
      <w:r>
        <w:rPr>
          <w:rFonts w:ascii="Times New Roman" w:cs="Times New Roman" w:eastAsia="Times New Roman" w:hAnsi="Times New Roman"/>
          <w:sz w:val="20"/>
          <w:szCs w:val="20"/>
          <w:color w:val="3F3F3F"/>
        </w:rPr>
        <w:t xml:space="preserve"> without </w:t>
      </w:r>
      <w:r>
        <w:rPr>
          <w:rFonts w:ascii="Times New Roman" w:cs="Times New Roman" w:eastAsia="Times New Roman" w:hAnsi="Times New Roman"/>
          <w:sz w:val="20"/>
          <w:szCs w:val="20"/>
          <w:color w:val="2D2D2D"/>
        </w:rPr>
        <w:t>limitat</w:t>
      </w:r>
      <w:r>
        <w:rPr>
          <w:rFonts w:ascii="Times New Roman" w:cs="Times New Roman" w:eastAsia="Times New Roman" w:hAnsi="Times New Roman"/>
          <w:sz w:val="20"/>
          <w:szCs w:val="20"/>
          <w:color w:val="545454"/>
        </w:rPr>
        <w:t>i</w:t>
      </w:r>
      <w:r>
        <w:rPr>
          <w:rFonts w:ascii="Times New Roman" w:cs="Times New Roman" w:eastAsia="Times New Roman" w:hAnsi="Times New Roman"/>
          <w:sz w:val="20"/>
          <w:szCs w:val="20"/>
          <w:color w:val="2D2D2D"/>
        </w:rPr>
        <w:t>on,</w:t>
      </w:r>
      <w:r>
        <w:rPr>
          <w:rFonts w:ascii="Times New Roman" w:cs="Times New Roman" w:eastAsia="Times New Roman" w:hAnsi="Times New Roman"/>
          <w:sz w:val="20"/>
          <w:szCs w:val="20"/>
          <w:color w:val="3F3F3F"/>
        </w:rPr>
        <w:t xml:space="preserve"> group </w:t>
      </w:r>
      <w:r>
        <w:rPr>
          <w:rFonts w:ascii="Times New Roman" w:cs="Times New Roman" w:eastAsia="Times New Roman" w:hAnsi="Times New Roman"/>
          <w:sz w:val="20"/>
          <w:szCs w:val="20"/>
          <w:color w:val="2D2D2D"/>
        </w:rPr>
        <w:t>health</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D2D2D"/>
        </w:rPr>
        <w:t xml:space="preserve">and life insurance, pension </w:t>
      </w:r>
      <w:r>
        <w:rPr>
          <w:rFonts w:ascii="Times New Roman" w:cs="Times New Roman" w:eastAsia="Times New Roman" w:hAnsi="Times New Roman"/>
          <w:sz w:val="20"/>
          <w:szCs w:val="20"/>
          <w:color w:val="3F3F3F"/>
        </w:rPr>
        <w:t>and savings,</w:t>
      </w:r>
      <w:r>
        <w:rPr>
          <w:rFonts w:ascii="Times New Roman" w:cs="Times New Roman" w:eastAsia="Times New Roman" w:hAnsi="Times New Roman"/>
          <w:sz w:val="20"/>
          <w:szCs w:val="20"/>
          <w:color w:val="2D2D2D"/>
        </w:rPr>
        <w:t xml:space="preserve"> and </w:t>
      </w:r>
      <w:r>
        <w:rPr>
          <w:rFonts w:ascii="Times New Roman" w:cs="Times New Roman" w:eastAsia="Times New Roman" w:hAnsi="Times New Roman"/>
          <w:sz w:val="20"/>
          <w:szCs w:val="20"/>
          <w:color w:val="3F3F3F"/>
        </w:rPr>
        <w:t>the Senior</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545454"/>
        </w:rPr>
        <w:t>Man</w:t>
      </w:r>
      <w:r>
        <w:rPr>
          <w:rFonts w:ascii="Times New Roman" w:cs="Times New Roman" w:eastAsia="Times New Roman" w:hAnsi="Times New Roman"/>
          <w:sz w:val="20"/>
          <w:szCs w:val="20"/>
          <w:color w:val="2D2D2D"/>
        </w:rPr>
        <w:t xml:space="preserve">agement </w:t>
      </w:r>
      <w:r>
        <w:rPr>
          <w:rFonts w:ascii="Times New Roman" w:cs="Times New Roman" w:eastAsia="Times New Roman" w:hAnsi="Times New Roman"/>
          <w:sz w:val="20"/>
          <w:szCs w:val="20"/>
          <w:color w:val="3F3F3F"/>
        </w:rPr>
        <w:t>Employment Policy.</w:t>
      </w:r>
    </w:p>
    <w:p>
      <w:pPr>
        <w:spacing w:after="0" w:line="181" w:lineRule="exact"/>
        <w:rPr>
          <w:rFonts w:ascii="Times New Roman" w:cs="Times New Roman" w:eastAsia="Times New Roman" w:hAnsi="Times New Roman"/>
          <w:sz w:val="20"/>
          <w:szCs w:val="20"/>
          <w:color w:val="auto"/>
        </w:rPr>
      </w:pPr>
    </w:p>
    <w:p>
      <w:pPr>
        <w:ind w:left="-20" w:firstLine="1320"/>
        <w:spacing w:after="0" w:line="259" w:lineRule="auto"/>
        <w:tabs>
          <w:tab w:leader="none" w:pos="169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 xml:space="preserve">FRINGE BENEFITS. The Company </w:t>
      </w:r>
      <w:r>
        <w:rPr>
          <w:rFonts w:ascii="Times New Roman" w:cs="Times New Roman" w:eastAsia="Times New Roman" w:hAnsi="Times New Roman"/>
          <w:sz w:val="20"/>
          <w:szCs w:val="20"/>
          <w:color w:val="2D2D2D"/>
        </w:rPr>
        <w:t>shall</w:t>
      </w:r>
      <w:r>
        <w:rPr>
          <w:rFonts w:ascii="Times New Roman" w:cs="Times New Roman" w:eastAsia="Times New Roman" w:hAnsi="Times New Roman"/>
          <w:sz w:val="20"/>
          <w:szCs w:val="20"/>
          <w:color w:val="3F3F3F"/>
        </w:rPr>
        <w:t xml:space="preserve"> pay </w:t>
      </w:r>
      <w:r>
        <w:rPr>
          <w:rFonts w:ascii="Times New Roman" w:cs="Times New Roman" w:eastAsia="Times New Roman" w:hAnsi="Times New Roman"/>
          <w:sz w:val="20"/>
          <w:szCs w:val="20"/>
          <w:color w:val="2D2D2D"/>
        </w:rPr>
        <w:t>or</w:t>
      </w:r>
      <w:r>
        <w:rPr>
          <w:rFonts w:ascii="Times New Roman" w:cs="Times New Roman" w:eastAsia="Times New Roman" w:hAnsi="Times New Roman"/>
          <w:sz w:val="20"/>
          <w:szCs w:val="20"/>
          <w:color w:val="3F3F3F"/>
        </w:rPr>
        <w:t xml:space="preserve"> reimburse </w:t>
      </w:r>
      <w:r>
        <w:rPr>
          <w:rFonts w:ascii="Times New Roman" w:cs="Times New Roman" w:eastAsia="Times New Roman" w:hAnsi="Times New Roman"/>
          <w:sz w:val="20"/>
          <w:szCs w:val="20"/>
          <w:color w:val="2D2D2D"/>
        </w:rPr>
        <w:t>the Executive</w:t>
      </w:r>
      <w:r>
        <w:rPr>
          <w:rFonts w:ascii="Times New Roman" w:cs="Times New Roman" w:eastAsia="Times New Roman" w:hAnsi="Times New Roman"/>
          <w:sz w:val="20"/>
          <w:szCs w:val="20"/>
          <w:color w:val="3F3F3F"/>
        </w:rPr>
        <w:t xml:space="preserve"> promptly </w:t>
      </w:r>
      <w:r>
        <w:rPr>
          <w:rFonts w:ascii="Times New Roman" w:cs="Times New Roman" w:eastAsia="Times New Roman" w:hAnsi="Times New Roman"/>
          <w:sz w:val="20"/>
          <w:szCs w:val="20"/>
          <w:color w:val="2D2D2D"/>
        </w:rPr>
        <w:t>for all reasonable and necessary</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D2D2D"/>
        </w:rPr>
        <w:t xml:space="preserve">expenses </w:t>
      </w:r>
      <w:r>
        <w:rPr>
          <w:rFonts w:ascii="Times New Roman" w:cs="Times New Roman" w:eastAsia="Times New Roman" w:hAnsi="Times New Roman"/>
          <w:sz w:val="20"/>
          <w:szCs w:val="20"/>
          <w:color w:val="3F3F3F"/>
        </w:rPr>
        <w:t>incurred</w:t>
      </w:r>
      <w:r>
        <w:rPr>
          <w:rFonts w:ascii="Times New Roman" w:cs="Times New Roman" w:eastAsia="Times New Roman" w:hAnsi="Times New Roman"/>
          <w:sz w:val="20"/>
          <w:szCs w:val="20"/>
          <w:color w:val="2D2D2D"/>
        </w:rPr>
        <w:t xml:space="preserve"> by </w:t>
      </w:r>
      <w:r>
        <w:rPr>
          <w:rFonts w:ascii="Times New Roman" w:cs="Times New Roman" w:eastAsia="Times New Roman" w:hAnsi="Times New Roman"/>
          <w:sz w:val="20"/>
          <w:szCs w:val="20"/>
          <w:color w:val="3F3F3F"/>
        </w:rPr>
        <w:t>him in connection with</w:t>
      </w:r>
      <w:r>
        <w:rPr>
          <w:rFonts w:ascii="Times New Roman" w:cs="Times New Roman" w:eastAsia="Times New Roman" w:hAnsi="Times New Roman"/>
          <w:sz w:val="20"/>
          <w:szCs w:val="20"/>
          <w:color w:val="2D2D2D"/>
        </w:rPr>
        <w:t xml:space="preserve"> his </w:t>
      </w:r>
      <w:r>
        <w:rPr>
          <w:rFonts w:ascii="Times New Roman" w:cs="Times New Roman" w:eastAsia="Times New Roman" w:hAnsi="Times New Roman"/>
          <w:sz w:val="20"/>
          <w:szCs w:val="20"/>
          <w:color w:val="3F3F3F"/>
        </w:rPr>
        <w:t>duties hereunder,</w:t>
      </w:r>
      <w:r>
        <w:rPr>
          <w:rFonts w:ascii="Times New Roman" w:cs="Times New Roman" w:eastAsia="Times New Roman" w:hAnsi="Times New Roman"/>
          <w:sz w:val="20"/>
          <w:szCs w:val="20"/>
          <w:color w:val="2D2D2D"/>
        </w:rPr>
        <w:t xml:space="preserve"> upon submission </w:t>
      </w:r>
      <w:r>
        <w:rPr>
          <w:rFonts w:ascii="Times New Roman" w:cs="Times New Roman" w:eastAsia="Times New Roman" w:hAnsi="Times New Roman"/>
          <w:sz w:val="20"/>
          <w:szCs w:val="20"/>
          <w:color w:val="3F3F3F"/>
        </w:rPr>
        <w:t>by the Execut</w:t>
      </w:r>
      <w:r>
        <w:rPr>
          <w:rFonts w:ascii="Times New Roman" w:cs="Times New Roman" w:eastAsia="Times New Roman" w:hAnsi="Times New Roman"/>
          <w:sz w:val="20"/>
          <w:szCs w:val="20"/>
          <w:color w:val="1A1A1A"/>
        </w:rPr>
        <w:t>i</w:t>
      </w:r>
      <w:r>
        <w:rPr>
          <w:rFonts w:ascii="Times New Roman" w:cs="Times New Roman" w:eastAsia="Times New Roman" w:hAnsi="Times New Roman"/>
          <w:sz w:val="20"/>
          <w:szCs w:val="20"/>
          <w:color w:val="3F3F3F"/>
        </w:rPr>
        <w:t>ve</w:t>
      </w:r>
      <w:r>
        <w:rPr>
          <w:rFonts w:ascii="Times New Roman" w:cs="Times New Roman" w:eastAsia="Times New Roman" w:hAnsi="Times New Roman"/>
          <w:sz w:val="20"/>
          <w:szCs w:val="20"/>
          <w:color w:val="2D2D2D"/>
        </w:rPr>
        <w:t xml:space="preserve"> to </w:t>
      </w:r>
      <w:r>
        <w:rPr>
          <w:rFonts w:ascii="Times New Roman" w:cs="Times New Roman" w:eastAsia="Times New Roman" w:hAnsi="Times New Roman"/>
          <w:sz w:val="20"/>
          <w:szCs w:val="20"/>
          <w:color w:val="1A1A1A"/>
        </w:rPr>
        <w:t>th</w:t>
      </w:r>
      <w:r>
        <w:rPr>
          <w:rFonts w:ascii="Times New Roman" w:cs="Times New Roman" w:eastAsia="Times New Roman" w:hAnsi="Times New Roman"/>
          <w:sz w:val="20"/>
          <w:szCs w:val="20"/>
          <w:color w:val="3F3F3F"/>
        </w:rPr>
        <w:t>e Company of</w:t>
      </w:r>
      <w:r>
        <w:rPr>
          <w:rFonts w:ascii="Times New Roman" w:cs="Times New Roman" w:eastAsia="Times New Roman" w:hAnsi="Times New Roman"/>
          <w:sz w:val="20"/>
          <w:szCs w:val="20"/>
          <w:color w:val="2D2D2D"/>
        </w:rPr>
        <w:t xml:space="preserve"> such </w:t>
      </w:r>
      <w:r>
        <w:rPr>
          <w:rFonts w:ascii="Times New Roman" w:cs="Times New Roman" w:eastAsia="Times New Roman" w:hAnsi="Times New Roman"/>
          <w:sz w:val="20"/>
          <w:szCs w:val="20"/>
          <w:color w:val="3F3F3F"/>
        </w:rPr>
        <w:t>written</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F3F3F"/>
        </w:rPr>
        <w:t xml:space="preserve">evidence </w:t>
      </w:r>
      <w:r>
        <w:rPr>
          <w:rFonts w:ascii="Times New Roman" w:cs="Times New Roman" w:eastAsia="Times New Roman" w:hAnsi="Times New Roman"/>
          <w:sz w:val="20"/>
          <w:szCs w:val="20"/>
          <w:color w:val="2D2D2D"/>
        </w:rPr>
        <w:t>of</w:t>
      </w:r>
      <w:r>
        <w:rPr>
          <w:rFonts w:ascii="Times New Roman" w:cs="Times New Roman" w:eastAsia="Times New Roman" w:hAnsi="Times New Roman"/>
          <w:sz w:val="20"/>
          <w:szCs w:val="20"/>
          <w:color w:val="3F3F3F"/>
        </w:rPr>
        <w:t xml:space="preserve"> such expenses as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Company </w:t>
      </w:r>
      <w:r>
        <w:rPr>
          <w:rFonts w:ascii="Times New Roman" w:cs="Times New Roman" w:eastAsia="Times New Roman" w:hAnsi="Times New Roman"/>
          <w:sz w:val="20"/>
          <w:szCs w:val="20"/>
          <w:color w:val="2D2D2D"/>
        </w:rPr>
        <w:t>may require.</w:t>
      </w:r>
      <w:r>
        <w:rPr>
          <w:rFonts w:ascii="Times New Roman" w:cs="Times New Roman" w:eastAsia="Times New Roman" w:hAnsi="Times New Roman"/>
          <w:sz w:val="20"/>
          <w:szCs w:val="20"/>
          <w:color w:val="3F3F3F"/>
        </w:rPr>
        <w:t xml:space="preserve"> Throughout </w:t>
      </w:r>
      <w:r>
        <w:rPr>
          <w:rFonts w:ascii="Times New Roman" w:cs="Times New Roman" w:eastAsia="Times New Roman" w:hAnsi="Times New Roman"/>
          <w:sz w:val="20"/>
          <w:szCs w:val="20"/>
          <w:color w:val="2D2D2D"/>
        </w:rPr>
        <w:t>the term of this</w:t>
      </w:r>
      <w:r>
        <w:rPr>
          <w:rFonts w:ascii="Times New Roman" w:cs="Times New Roman" w:eastAsia="Times New Roman" w:hAnsi="Times New Roman"/>
          <w:sz w:val="20"/>
          <w:szCs w:val="20"/>
          <w:color w:val="3F3F3F"/>
        </w:rPr>
        <w:t xml:space="preserve"> Agreement,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Company will provide the Executive </w:t>
      </w:r>
      <w:r>
        <w:rPr>
          <w:rFonts w:ascii="Times New Roman" w:cs="Times New Roman" w:eastAsia="Times New Roman" w:hAnsi="Times New Roman"/>
          <w:sz w:val="20"/>
          <w:szCs w:val="20"/>
          <w:color w:val="2D2D2D"/>
        </w:rPr>
        <w:t xml:space="preserve">with </w:t>
      </w:r>
      <w:r>
        <w:rPr>
          <w:rFonts w:ascii="Times New Roman" w:cs="Times New Roman" w:eastAsia="Times New Roman" w:hAnsi="Times New Roman"/>
          <w:sz w:val="20"/>
          <w:szCs w:val="20"/>
          <w:color w:val="3F3F3F"/>
        </w:rPr>
        <w:t>the use</w:t>
      </w:r>
      <w:r>
        <w:rPr>
          <w:rFonts w:ascii="Times New Roman" w:cs="Times New Roman" w:eastAsia="Times New Roman" w:hAnsi="Times New Roman"/>
          <w:sz w:val="20"/>
          <w:szCs w:val="20"/>
          <w:color w:val="2D2D2D"/>
        </w:rPr>
        <w:t xml:space="preserve"> of a </w:t>
      </w:r>
      <w:r>
        <w:rPr>
          <w:rFonts w:ascii="Times New Roman" w:cs="Times New Roman" w:eastAsia="Times New Roman" w:hAnsi="Times New Roman"/>
          <w:sz w:val="20"/>
          <w:szCs w:val="20"/>
          <w:color w:val="3F3F3F"/>
        </w:rPr>
        <w:t>vehicle for</w:t>
      </w:r>
      <w:r>
        <w:rPr>
          <w:rFonts w:ascii="Times New Roman" w:cs="Times New Roman" w:eastAsia="Times New Roman" w:hAnsi="Times New Roman"/>
          <w:sz w:val="20"/>
          <w:szCs w:val="20"/>
          <w:color w:val="2D2D2D"/>
        </w:rPr>
        <w:t xml:space="preserve"> purposes </w:t>
      </w:r>
      <w:r>
        <w:rPr>
          <w:rFonts w:ascii="Times New Roman" w:cs="Times New Roman" w:eastAsia="Times New Roman" w:hAnsi="Times New Roman"/>
          <w:sz w:val="20"/>
          <w:szCs w:val="20"/>
          <w:color w:val="3F3F3F"/>
        </w:rPr>
        <w:t>within the scope</w:t>
      </w:r>
      <w:r>
        <w:rPr>
          <w:rFonts w:ascii="Times New Roman" w:cs="Times New Roman" w:eastAsia="Times New Roman" w:hAnsi="Times New Roman"/>
          <w:sz w:val="20"/>
          <w:szCs w:val="20"/>
          <w:color w:val="2D2D2D"/>
        </w:rPr>
        <w:t xml:space="preserve"> of his employment and </w:t>
      </w:r>
      <w:r>
        <w:rPr>
          <w:rFonts w:ascii="Times New Roman" w:cs="Times New Roman" w:eastAsia="Times New Roman" w:hAnsi="Times New Roman"/>
          <w:sz w:val="20"/>
          <w:szCs w:val="20"/>
          <w:color w:val="3F3F3F"/>
        </w:rPr>
        <w:t>shall pay, or reimburse Executive</w:t>
      </w:r>
      <w:r>
        <w:rPr>
          <w:rFonts w:ascii="Times New Roman" w:cs="Times New Roman" w:eastAsia="Times New Roman" w:hAnsi="Times New Roman"/>
          <w:sz w:val="20"/>
          <w:szCs w:val="20"/>
          <w:color w:val="2D2D2D"/>
        </w:rPr>
        <w:t xml:space="preserve"> for, </w:t>
      </w:r>
      <w:r>
        <w:rPr>
          <w:rFonts w:ascii="Times New Roman" w:cs="Times New Roman" w:eastAsia="Times New Roman" w:hAnsi="Times New Roman"/>
          <w:sz w:val="20"/>
          <w:szCs w:val="20"/>
          <w:color w:val="3F3F3F"/>
        </w:rPr>
        <w:t>all expenses</w:t>
      </w:r>
      <w:r>
        <w:rPr>
          <w:rFonts w:ascii="Times New Roman" w:cs="Times New Roman" w:eastAsia="Times New Roman" w:hAnsi="Times New Roman"/>
          <w:sz w:val="20"/>
          <w:szCs w:val="20"/>
          <w:color w:val="2D2D2D"/>
        </w:rPr>
        <w:t xml:space="preserve"> for </w:t>
      </w:r>
      <w:r>
        <w:rPr>
          <w:rFonts w:ascii="Times New Roman" w:cs="Times New Roman" w:eastAsia="Times New Roman" w:hAnsi="Times New Roman"/>
          <w:sz w:val="20"/>
          <w:szCs w:val="20"/>
          <w:color w:val="3F3F3F"/>
        </w:rPr>
        <w:t>fuel,</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F3F3F"/>
        </w:rPr>
        <w:t xml:space="preserve">maintenance and </w:t>
      </w:r>
      <w:r>
        <w:rPr>
          <w:rFonts w:ascii="Times New Roman" w:cs="Times New Roman" w:eastAsia="Times New Roman" w:hAnsi="Times New Roman"/>
          <w:sz w:val="20"/>
          <w:szCs w:val="20"/>
          <w:color w:val="2D2D2D"/>
        </w:rPr>
        <w:t>insurance</w:t>
      </w:r>
      <w:r>
        <w:rPr>
          <w:rFonts w:ascii="Times New Roman" w:cs="Times New Roman" w:eastAsia="Times New Roman" w:hAnsi="Times New Roman"/>
          <w:sz w:val="20"/>
          <w:szCs w:val="20"/>
          <w:color w:val="3F3F3F"/>
        </w:rPr>
        <w:t xml:space="preserve"> in connection with such use of the </w:t>
      </w:r>
      <w:r>
        <w:rPr>
          <w:rFonts w:ascii="Times New Roman" w:cs="Times New Roman" w:eastAsia="Times New Roman" w:hAnsi="Times New Roman"/>
          <w:sz w:val="20"/>
          <w:szCs w:val="20"/>
          <w:color w:val="2D2D2D"/>
        </w:rPr>
        <w:t>automobile.</w:t>
      </w:r>
      <w:r>
        <w:rPr>
          <w:rFonts w:ascii="Times New Roman" w:cs="Times New Roman" w:eastAsia="Times New Roman" w:hAnsi="Times New Roman"/>
          <w:sz w:val="20"/>
          <w:szCs w:val="20"/>
          <w:color w:val="3F3F3F"/>
        </w:rPr>
        <w:t xml:space="preserve"> The Company shall make </w:t>
      </w:r>
      <w:r>
        <w:rPr>
          <w:rFonts w:ascii="Times New Roman" w:cs="Times New Roman" w:eastAsia="Times New Roman" w:hAnsi="Times New Roman"/>
          <w:sz w:val="20"/>
          <w:szCs w:val="20"/>
          <w:color w:val="2D2D2D"/>
        </w:rPr>
        <w:t>any such</w:t>
      </w:r>
      <w:r>
        <w:rPr>
          <w:rFonts w:ascii="Times New Roman" w:cs="Times New Roman" w:eastAsia="Times New Roman" w:hAnsi="Times New Roman"/>
          <w:sz w:val="20"/>
          <w:szCs w:val="20"/>
          <w:color w:val="3F3F3F"/>
        </w:rPr>
        <w:t xml:space="preserve"> reimbursement or payments </w:t>
      </w:r>
      <w:r>
        <w:rPr>
          <w:rFonts w:ascii="Times New Roman" w:cs="Times New Roman" w:eastAsia="Times New Roman" w:hAnsi="Times New Roman"/>
          <w:sz w:val="20"/>
          <w:szCs w:val="20"/>
          <w:color w:val="2D2D2D"/>
        </w:rPr>
        <w:t xml:space="preserve">under this </w:t>
      </w:r>
      <w:r>
        <w:rPr>
          <w:rFonts w:ascii="Times New Roman" w:cs="Times New Roman" w:eastAsia="Times New Roman" w:hAnsi="Times New Roman"/>
          <w:sz w:val="20"/>
          <w:szCs w:val="20"/>
          <w:color w:val="3F3F3F"/>
        </w:rPr>
        <w:t>Sect</w:t>
      </w:r>
      <w:r>
        <w:rPr>
          <w:rFonts w:ascii="Times New Roman" w:cs="Times New Roman" w:eastAsia="Times New Roman" w:hAnsi="Times New Roman"/>
          <w:sz w:val="20"/>
          <w:szCs w:val="20"/>
          <w:color w:val="1A1A1A"/>
        </w:rPr>
        <w:t>i</w:t>
      </w:r>
      <w:r>
        <w:rPr>
          <w:rFonts w:ascii="Times New Roman" w:cs="Times New Roman" w:eastAsia="Times New Roman" w:hAnsi="Times New Roman"/>
          <w:sz w:val="20"/>
          <w:szCs w:val="20"/>
          <w:color w:val="3F3F3F"/>
        </w:rPr>
        <w:t>on</w:t>
      </w:r>
      <w:r>
        <w:rPr>
          <w:rFonts w:ascii="Times New Roman" w:cs="Times New Roman" w:eastAsia="Times New Roman" w:hAnsi="Times New Roman"/>
          <w:sz w:val="20"/>
          <w:szCs w:val="20"/>
          <w:color w:val="2D2D2D"/>
        </w:rPr>
        <w:t xml:space="preserve"> 3(e) no later </w:t>
      </w:r>
      <w:r>
        <w:rPr>
          <w:rFonts w:ascii="Times New Roman" w:cs="Times New Roman" w:eastAsia="Times New Roman" w:hAnsi="Times New Roman"/>
          <w:sz w:val="20"/>
          <w:szCs w:val="20"/>
          <w:color w:val="3F3F3F"/>
        </w:rPr>
        <w:t>than the</w:t>
      </w:r>
      <w:r>
        <w:rPr>
          <w:rFonts w:ascii="Times New Roman" w:cs="Times New Roman" w:eastAsia="Times New Roman" w:hAnsi="Times New Roman"/>
          <w:sz w:val="20"/>
          <w:szCs w:val="20"/>
          <w:color w:val="2D2D2D"/>
        </w:rPr>
        <w:t xml:space="preserve"> last day of </w:t>
      </w:r>
      <w:r>
        <w:rPr>
          <w:rFonts w:ascii="Times New Roman" w:cs="Times New Roman" w:eastAsia="Times New Roman" w:hAnsi="Times New Roman"/>
          <w:sz w:val="20"/>
          <w:szCs w:val="20"/>
          <w:color w:val="3F3F3F"/>
        </w:rPr>
        <w:t>the Executive's taxable year</w:t>
      </w:r>
      <w:r>
        <w:rPr>
          <w:rFonts w:ascii="Times New Roman" w:cs="Times New Roman" w:eastAsia="Times New Roman" w:hAnsi="Times New Roman"/>
          <w:sz w:val="20"/>
          <w:szCs w:val="20"/>
          <w:color w:val="2D2D2D"/>
        </w:rPr>
        <w:t xml:space="preserve"> next </w:t>
      </w:r>
      <w:r>
        <w:rPr>
          <w:rFonts w:ascii="Times New Roman" w:cs="Times New Roman" w:eastAsia="Times New Roman" w:hAnsi="Times New Roman"/>
          <w:sz w:val="20"/>
          <w:szCs w:val="20"/>
          <w:color w:val="3F3F3F"/>
        </w:rPr>
        <w:t>following the Executive's taxable year in</w:t>
      </w:r>
      <w:r>
        <w:rPr>
          <w:rFonts w:ascii="Times New Roman" w:cs="Times New Roman" w:eastAsia="Times New Roman" w:hAnsi="Times New Roman"/>
          <w:sz w:val="20"/>
          <w:szCs w:val="20"/>
          <w:color w:val="2D2D2D"/>
        </w:rPr>
        <w:t xml:space="preserve"> which the </w:t>
      </w:r>
      <w:r>
        <w:rPr>
          <w:rFonts w:ascii="Times New Roman" w:cs="Times New Roman" w:eastAsia="Times New Roman" w:hAnsi="Times New Roman"/>
          <w:sz w:val="20"/>
          <w:szCs w:val="20"/>
          <w:color w:val="3F3F3F"/>
        </w:rPr>
        <w:t xml:space="preserve">Executive </w:t>
      </w:r>
      <w:r>
        <w:rPr>
          <w:rFonts w:ascii="Times New Roman" w:cs="Times New Roman" w:eastAsia="Times New Roman" w:hAnsi="Times New Roman"/>
          <w:sz w:val="20"/>
          <w:szCs w:val="20"/>
          <w:color w:val="2D2D2D"/>
        </w:rPr>
        <w:t>incurs</w:t>
      </w:r>
      <w:r>
        <w:rPr>
          <w:rFonts w:ascii="Times New Roman" w:cs="Times New Roman" w:eastAsia="Times New Roman" w:hAnsi="Times New Roman"/>
          <w:sz w:val="20"/>
          <w:szCs w:val="20"/>
          <w:color w:val="3F3F3F"/>
        </w:rPr>
        <w:t xml:space="preserve"> the </w:t>
      </w:r>
      <w:r>
        <w:rPr>
          <w:rFonts w:ascii="Times New Roman" w:cs="Times New Roman" w:eastAsia="Times New Roman" w:hAnsi="Times New Roman"/>
          <w:sz w:val="20"/>
          <w:szCs w:val="20"/>
          <w:color w:val="2D2D2D"/>
        </w:rPr>
        <w:t>expense.</w:t>
      </w:r>
      <w:r>
        <w:rPr>
          <w:rFonts w:ascii="Times New Roman" w:cs="Times New Roman" w:eastAsia="Times New Roman" w:hAnsi="Times New Roman"/>
          <w:sz w:val="20"/>
          <w:szCs w:val="20"/>
          <w:color w:val="3F3F3F"/>
        </w:rPr>
        <w:t xml:space="preserve"> The Company further agrees </w:t>
      </w:r>
      <w:r>
        <w:rPr>
          <w:rFonts w:ascii="Times New Roman" w:cs="Times New Roman" w:eastAsia="Times New Roman" w:hAnsi="Times New Roman"/>
          <w:sz w:val="20"/>
          <w:szCs w:val="20"/>
          <w:color w:val="2D2D2D"/>
        </w:rPr>
        <w:t>that</w:t>
      </w:r>
      <w:r>
        <w:rPr>
          <w:rFonts w:ascii="Times New Roman" w:cs="Times New Roman" w:eastAsia="Times New Roman" w:hAnsi="Times New Roman"/>
          <w:sz w:val="20"/>
          <w:szCs w:val="20"/>
          <w:color w:val="3F3F3F"/>
        </w:rPr>
        <w:t xml:space="preserve"> the Executive </w:t>
      </w:r>
      <w:r>
        <w:rPr>
          <w:rFonts w:ascii="Times New Roman" w:cs="Times New Roman" w:eastAsia="Times New Roman" w:hAnsi="Times New Roman"/>
          <w:sz w:val="20"/>
          <w:szCs w:val="20"/>
          <w:color w:val="2D2D2D"/>
        </w:rPr>
        <w:t>shall be</w:t>
      </w:r>
      <w:r>
        <w:rPr>
          <w:rFonts w:ascii="Times New Roman" w:cs="Times New Roman" w:eastAsia="Times New Roman" w:hAnsi="Times New Roman"/>
          <w:sz w:val="20"/>
          <w:szCs w:val="20"/>
          <w:color w:val="3F3F3F"/>
        </w:rPr>
        <w:t xml:space="preserve"> entitled to four </w:t>
      </w:r>
      <w:r>
        <w:rPr>
          <w:rFonts w:ascii="Times New Roman" w:cs="Times New Roman" w:eastAsia="Times New Roman" w:hAnsi="Times New Roman"/>
          <w:sz w:val="20"/>
          <w:szCs w:val="20"/>
          <w:color w:val="2D2D2D"/>
        </w:rPr>
        <w:t>(4)</w:t>
      </w:r>
      <w:r>
        <w:rPr>
          <w:rFonts w:ascii="Times New Roman" w:cs="Times New Roman" w:eastAsia="Times New Roman" w:hAnsi="Times New Roman"/>
          <w:sz w:val="20"/>
          <w:szCs w:val="20"/>
          <w:color w:val="3F3F3F"/>
        </w:rPr>
        <w:t xml:space="preserve"> weeks of vacation in </w:t>
      </w:r>
      <w:r>
        <w:rPr>
          <w:rFonts w:ascii="Times New Roman" w:cs="Times New Roman" w:eastAsia="Times New Roman" w:hAnsi="Times New Roman"/>
          <w:sz w:val="20"/>
          <w:szCs w:val="20"/>
          <w:color w:val="2D2D2D"/>
        </w:rPr>
        <w:t>any</w:t>
      </w:r>
      <w:r>
        <w:rPr>
          <w:rFonts w:ascii="Times New Roman" w:cs="Times New Roman" w:eastAsia="Times New Roman" w:hAnsi="Times New Roman"/>
          <w:sz w:val="20"/>
          <w:szCs w:val="20"/>
          <w:color w:val="3F3F3F"/>
        </w:rPr>
        <w:t xml:space="preserve"> year </w:t>
      </w:r>
      <w:r>
        <w:rPr>
          <w:rFonts w:ascii="Times New Roman" w:cs="Times New Roman" w:eastAsia="Times New Roman" w:hAnsi="Times New Roman"/>
          <w:sz w:val="20"/>
          <w:szCs w:val="20"/>
          <w:color w:val="2D2D2D"/>
        </w:rPr>
        <w:t>of the</w:t>
      </w:r>
      <w:r>
        <w:rPr>
          <w:rFonts w:ascii="Times New Roman" w:cs="Times New Roman" w:eastAsia="Times New Roman" w:hAnsi="Times New Roman"/>
          <w:sz w:val="20"/>
          <w:szCs w:val="20"/>
          <w:color w:val="3F3F3F"/>
        </w:rPr>
        <w:t xml:space="preserve"> term of employment </w:t>
      </w:r>
      <w:r>
        <w:rPr>
          <w:rFonts w:ascii="Times New Roman" w:cs="Times New Roman" w:eastAsia="Times New Roman" w:hAnsi="Times New Roman"/>
          <w:sz w:val="20"/>
          <w:szCs w:val="20"/>
          <w:color w:val="2D2D2D"/>
        </w:rPr>
        <w:t>hereunder</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F3F3F"/>
        </w:rPr>
        <w:t xml:space="preserve"> subject </w:t>
      </w:r>
      <w:r>
        <w:rPr>
          <w:rFonts w:ascii="Times New Roman" w:cs="Times New Roman" w:eastAsia="Times New Roman" w:hAnsi="Times New Roman"/>
          <w:sz w:val="20"/>
          <w:szCs w:val="20"/>
          <w:color w:val="2D2D2D"/>
        </w:rPr>
        <w:t>to</w:t>
      </w:r>
      <w:r>
        <w:rPr>
          <w:rFonts w:ascii="Times New Roman" w:cs="Times New Roman" w:eastAsia="Times New Roman" w:hAnsi="Times New Roman"/>
          <w:sz w:val="20"/>
          <w:szCs w:val="20"/>
          <w:color w:val="3F3F3F"/>
        </w:rPr>
        <w:t xml:space="preserve"> the terms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Company's vacation </w:t>
      </w:r>
      <w:r>
        <w:rPr>
          <w:rFonts w:ascii="Times New Roman" w:cs="Times New Roman" w:eastAsia="Times New Roman" w:hAnsi="Times New Roman"/>
          <w:sz w:val="20"/>
          <w:szCs w:val="20"/>
          <w:color w:val="2D2D2D"/>
        </w:rPr>
        <w:t>pol</w:t>
      </w:r>
      <w:r>
        <w:rPr>
          <w:rFonts w:ascii="Times New Roman" w:cs="Times New Roman" w:eastAsia="Times New Roman" w:hAnsi="Times New Roman"/>
          <w:sz w:val="20"/>
          <w:szCs w:val="20"/>
          <w:color w:val="545454"/>
        </w:rPr>
        <w:t>i</w:t>
      </w:r>
      <w:r>
        <w:rPr>
          <w:rFonts w:ascii="Times New Roman" w:cs="Times New Roman" w:eastAsia="Times New Roman" w:hAnsi="Times New Roman"/>
          <w:sz w:val="20"/>
          <w:szCs w:val="20"/>
          <w:color w:val="2D2D2D"/>
        </w:rPr>
        <w:t>cy</w:t>
      </w:r>
      <w:r>
        <w:rPr>
          <w:rFonts w:ascii="Times New Roman" w:cs="Times New Roman" w:eastAsia="Times New Roman" w:hAnsi="Times New Roman"/>
          <w:sz w:val="20"/>
          <w:szCs w:val="20"/>
          <w:color w:val="545454"/>
        </w:rPr>
        <w:t>.</w:t>
      </w:r>
    </w:p>
    <w:p>
      <w:pPr>
        <w:spacing w:after="0" w:line="202" w:lineRule="exact"/>
        <w:rPr>
          <w:rFonts w:ascii="Times New Roman" w:cs="Times New Roman" w:eastAsia="Times New Roman" w:hAnsi="Times New Roman"/>
          <w:sz w:val="20"/>
          <w:szCs w:val="20"/>
          <w:color w:val="auto"/>
        </w:rPr>
      </w:pPr>
    </w:p>
    <w:p>
      <w:pPr>
        <w:ind w:left="-20" w:right="140" w:firstLine="1306"/>
        <w:spacing w:after="0" w:line="262" w:lineRule="auto"/>
        <w:tabs>
          <w:tab w:leader="none" w:pos="166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F3F3F"/>
        </w:rPr>
        <w:t>MODIFICATION OF BENEFITS. Without by imp</w:t>
      </w:r>
      <w:r>
        <w:rPr>
          <w:rFonts w:ascii="Times New Roman" w:cs="Times New Roman" w:eastAsia="Times New Roman" w:hAnsi="Times New Roman"/>
          <w:sz w:val="20"/>
          <w:szCs w:val="20"/>
          <w:color w:val="1A1A1A"/>
        </w:rPr>
        <w:t>l</w:t>
      </w:r>
      <w:r>
        <w:rPr>
          <w:rFonts w:ascii="Times New Roman" w:cs="Times New Roman" w:eastAsia="Times New Roman" w:hAnsi="Times New Roman"/>
          <w:sz w:val="20"/>
          <w:szCs w:val="20"/>
          <w:color w:val="3F3F3F"/>
        </w:rPr>
        <w:t xml:space="preserve">ication </w:t>
      </w:r>
      <w:r>
        <w:rPr>
          <w:rFonts w:ascii="Times New Roman" w:cs="Times New Roman" w:eastAsia="Times New Roman" w:hAnsi="Times New Roman"/>
          <w:sz w:val="20"/>
          <w:szCs w:val="20"/>
          <w:color w:val="2D2D2D"/>
        </w:rPr>
        <w:t>limiting</w:t>
      </w:r>
      <w:r>
        <w:rPr>
          <w:rFonts w:ascii="Times New Roman" w:cs="Times New Roman" w:eastAsia="Times New Roman" w:hAnsi="Times New Roman"/>
          <w:sz w:val="20"/>
          <w:szCs w:val="20"/>
          <w:color w:val="3F3F3F"/>
        </w:rPr>
        <w:t xml:space="preserve"> the foregoing, </w:t>
      </w:r>
      <w:r>
        <w:rPr>
          <w:rFonts w:ascii="Times New Roman" w:cs="Times New Roman" w:eastAsia="Times New Roman" w:hAnsi="Times New Roman"/>
          <w:sz w:val="20"/>
          <w:szCs w:val="20"/>
          <w:color w:val="2D2D2D"/>
        </w:rPr>
        <w:t>during the</w:t>
      </w:r>
      <w:r>
        <w:rPr>
          <w:rFonts w:ascii="Times New Roman" w:cs="Times New Roman" w:eastAsia="Times New Roman" w:hAnsi="Times New Roman"/>
          <w:sz w:val="20"/>
          <w:szCs w:val="20"/>
          <w:color w:val="3F3F3F"/>
        </w:rPr>
        <w:t xml:space="preserve"> two (2) years following a </w:t>
      </w:r>
      <w:r>
        <w:rPr>
          <w:rFonts w:ascii="Times New Roman" w:cs="Times New Roman" w:eastAsia="Times New Roman" w:hAnsi="Times New Roman"/>
          <w:sz w:val="20"/>
          <w:szCs w:val="20"/>
          <w:color w:val="545454"/>
        </w:rPr>
        <w:t>C</w:t>
      </w:r>
      <w:r>
        <w:rPr>
          <w:rFonts w:ascii="Times New Roman" w:cs="Times New Roman" w:eastAsia="Times New Roman" w:hAnsi="Times New Roman"/>
          <w:sz w:val="20"/>
          <w:szCs w:val="20"/>
          <w:color w:val="2D2D2D"/>
        </w:rPr>
        <w:t>hange</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3F3F3F"/>
        </w:rPr>
        <w:t>in Control</w:t>
      </w:r>
      <w:r>
        <w:rPr>
          <w:rFonts w:ascii="Times New Roman" w:cs="Times New Roman" w:eastAsia="Times New Roman" w:hAnsi="Times New Roman"/>
          <w:sz w:val="20"/>
          <w:szCs w:val="20"/>
          <w:color w:val="6B6B6B"/>
        </w:rPr>
        <w:t>,</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3F3F3F"/>
        </w:rPr>
        <w:t>the</w:t>
      </w:r>
      <w:r>
        <w:rPr>
          <w:rFonts w:ascii="Times New Roman" w:cs="Times New Roman" w:eastAsia="Times New Roman" w:hAnsi="Times New Roman"/>
          <w:sz w:val="20"/>
          <w:szCs w:val="20"/>
          <w:color w:val="545454"/>
        </w:rPr>
        <w:t xml:space="preserve"> Execu</w:t>
      </w:r>
      <w:r>
        <w:rPr>
          <w:rFonts w:ascii="Times New Roman" w:cs="Times New Roman" w:eastAsia="Times New Roman" w:hAnsi="Times New Roman"/>
          <w:sz w:val="20"/>
          <w:szCs w:val="20"/>
          <w:color w:val="2D2D2D"/>
        </w:rPr>
        <w:t>tive</w:t>
      </w:r>
      <w:r>
        <w:rPr>
          <w:rFonts w:ascii="Times New Roman" w:cs="Times New Roman" w:eastAsia="Times New Roman" w:hAnsi="Times New Roman"/>
          <w:sz w:val="20"/>
          <w:szCs w:val="20"/>
          <w:color w:val="545454"/>
        </w:rPr>
        <w:t xml:space="preserve">' s </w:t>
      </w:r>
      <w:r>
        <w:rPr>
          <w:rFonts w:ascii="Times New Roman" w:cs="Times New Roman" w:eastAsia="Times New Roman" w:hAnsi="Times New Roman"/>
          <w:sz w:val="20"/>
          <w:szCs w:val="20"/>
          <w:color w:val="3F3F3F"/>
        </w:rPr>
        <w:t>compensation, including Base Salary, incentive compensation opportunity, SERP opportunity, other</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2D2D2D"/>
        </w:rPr>
        <w:t xml:space="preserve">benefits </w:t>
      </w:r>
      <w:r>
        <w:rPr>
          <w:rFonts w:ascii="Times New Roman" w:cs="Times New Roman" w:eastAsia="Times New Roman" w:hAnsi="Times New Roman"/>
          <w:sz w:val="20"/>
          <w:szCs w:val="20"/>
          <w:color w:val="3F3F3F"/>
        </w:rPr>
        <w:t>and fringe benefits shall not be reduced</w:t>
      </w:r>
      <w:r>
        <w:rPr>
          <w:rFonts w:ascii="Times New Roman" w:cs="Times New Roman" w:eastAsia="Times New Roman" w:hAnsi="Times New Roman"/>
          <w:sz w:val="20"/>
          <w:szCs w:val="20"/>
          <w:color w:val="1A1A1A"/>
        </w:rPr>
        <w:t>.</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F3F3F"/>
        </w:rPr>
        <w:t>Notwithstanding</w:t>
      </w:r>
      <w:r>
        <w:rPr>
          <w:rFonts w:ascii="Times New Roman" w:cs="Times New Roman" w:eastAsia="Times New Roman" w:hAnsi="Times New Roman"/>
          <w:sz w:val="20"/>
          <w:szCs w:val="20"/>
          <w:color w:val="2D2D2D"/>
        </w:rPr>
        <w:t xml:space="preserve"> the foregoing</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2D2D2D"/>
        </w:rPr>
        <w:t xml:space="preserve"> th</w:t>
      </w:r>
      <w:r>
        <w:rPr>
          <w:rFonts w:ascii="Times New Roman" w:cs="Times New Roman" w:eastAsia="Times New Roman" w:hAnsi="Times New Roman"/>
          <w:sz w:val="20"/>
          <w:szCs w:val="20"/>
          <w:color w:val="545454"/>
        </w:rPr>
        <w:t>e</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F3F3F"/>
        </w:rPr>
        <w:t>Company</w:t>
      </w:r>
      <w:r>
        <w:rPr>
          <w:rFonts w:ascii="Times New Roman" w:cs="Times New Roman" w:eastAsia="Times New Roman" w:hAnsi="Times New Roman"/>
          <w:sz w:val="20"/>
          <w:szCs w:val="20"/>
          <w:color w:val="2D2D2D"/>
        </w:rPr>
        <w:t xml:space="preserve"> shall </w:t>
      </w:r>
      <w:r>
        <w:rPr>
          <w:rFonts w:ascii="Times New Roman" w:cs="Times New Roman" w:eastAsia="Times New Roman" w:hAnsi="Times New Roman"/>
          <w:sz w:val="20"/>
          <w:szCs w:val="20"/>
          <w:color w:val="3F3F3F"/>
        </w:rPr>
        <w:t>be entitled to modify the</w:t>
      </w:r>
      <w:r>
        <w:rPr>
          <w:rFonts w:ascii="Times New Roman" w:cs="Times New Roman" w:eastAsia="Times New Roman" w:hAnsi="Times New Roman"/>
          <w:sz w:val="20"/>
          <w:szCs w:val="20"/>
          <w:color w:val="2D2D2D"/>
        </w:rPr>
        <w:t xml:space="preserve"> group </w:t>
      </w:r>
      <w:r>
        <w:rPr>
          <w:rFonts w:ascii="Times New Roman" w:cs="Times New Roman" w:eastAsia="Times New Roman" w:hAnsi="Times New Roman"/>
          <w:sz w:val="20"/>
          <w:szCs w:val="20"/>
          <w:color w:val="3F3F3F"/>
        </w:rPr>
        <w:t>health</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F3F3F"/>
        </w:rPr>
        <w:t xml:space="preserve">benefits provided such modifications are </w:t>
      </w:r>
      <w:r>
        <w:rPr>
          <w:rFonts w:ascii="Times New Roman" w:cs="Times New Roman" w:eastAsia="Times New Roman" w:hAnsi="Times New Roman"/>
          <w:sz w:val="20"/>
          <w:szCs w:val="20"/>
          <w:color w:val="2D2D2D"/>
        </w:rPr>
        <w:t>applicable</w:t>
      </w:r>
      <w:r>
        <w:rPr>
          <w:rFonts w:ascii="Times New Roman" w:cs="Times New Roman" w:eastAsia="Times New Roman" w:hAnsi="Times New Roman"/>
          <w:sz w:val="20"/>
          <w:szCs w:val="20"/>
          <w:color w:val="3F3F3F"/>
        </w:rPr>
        <w:t xml:space="preserve"> to all </w:t>
      </w:r>
      <w:r>
        <w:rPr>
          <w:rFonts w:ascii="Times New Roman" w:cs="Times New Roman" w:eastAsia="Times New Roman" w:hAnsi="Times New Roman"/>
          <w:sz w:val="20"/>
          <w:szCs w:val="20"/>
          <w:color w:val="2D2D2D"/>
        </w:rPr>
        <w:t>similarly situated management</w:t>
      </w:r>
      <w:r>
        <w:rPr>
          <w:rFonts w:ascii="Times New Roman" w:cs="Times New Roman" w:eastAsia="Times New Roman" w:hAnsi="Times New Roman"/>
          <w:sz w:val="20"/>
          <w:szCs w:val="20"/>
          <w:color w:val="3F3F3F"/>
        </w:rPr>
        <w:t xml:space="preserve"> employees</w:t>
      </w:r>
      <w:r>
        <w:rPr>
          <w:rFonts w:ascii="Times New Roman" w:cs="Times New Roman" w:eastAsia="Times New Roman" w:hAnsi="Times New Roman"/>
          <w:sz w:val="20"/>
          <w:szCs w:val="20"/>
          <w:color w:val="6B6B6B"/>
        </w:rPr>
        <w:t>.</w:t>
      </w:r>
      <w:r>
        <w:rPr>
          <w:rFonts w:ascii="Times New Roman" w:cs="Times New Roman" w:eastAsia="Times New Roman" w:hAnsi="Times New Roman"/>
          <w:sz w:val="20"/>
          <w:szCs w:val="20"/>
          <w:color w:val="3F3F3F"/>
        </w:rPr>
        <w:t xml:space="preserve"> To the extent </w:t>
      </w:r>
      <w:r>
        <w:rPr>
          <w:rFonts w:ascii="Times New Roman" w:cs="Times New Roman" w:eastAsia="Times New Roman" w:hAnsi="Times New Roman"/>
          <w:sz w:val="20"/>
          <w:szCs w:val="20"/>
          <w:color w:val="2D2D2D"/>
        </w:rPr>
        <w:t>that the</w:t>
      </w:r>
      <w:r>
        <w:rPr>
          <w:rFonts w:ascii="Times New Roman" w:cs="Times New Roman" w:eastAsia="Times New Roman" w:hAnsi="Times New Roman"/>
          <w:sz w:val="20"/>
          <w:szCs w:val="20"/>
          <w:color w:val="3F3F3F"/>
        </w:rPr>
        <w:t xml:space="preserve"> Company is not able to continue </w:t>
      </w:r>
      <w:r>
        <w:rPr>
          <w:rFonts w:ascii="Times New Roman" w:cs="Times New Roman" w:eastAsia="Times New Roman" w:hAnsi="Times New Roman"/>
          <w:sz w:val="20"/>
          <w:szCs w:val="20"/>
          <w:color w:val="2D2D2D"/>
        </w:rPr>
        <w:t>life, group</w:t>
      </w:r>
      <w:r>
        <w:rPr>
          <w:rFonts w:ascii="Times New Roman" w:cs="Times New Roman" w:eastAsia="Times New Roman" w:hAnsi="Times New Roman"/>
          <w:sz w:val="20"/>
          <w:szCs w:val="20"/>
          <w:color w:val="3F3F3F"/>
        </w:rPr>
        <w:t xml:space="preserve"> health or similar benefits </w:t>
      </w:r>
      <w:r>
        <w:rPr>
          <w:rFonts w:ascii="Times New Roman" w:cs="Times New Roman" w:eastAsia="Times New Roman" w:hAnsi="Times New Roman"/>
          <w:sz w:val="20"/>
          <w:szCs w:val="20"/>
          <w:color w:val="2D2D2D"/>
        </w:rPr>
        <w:t>as</w:t>
      </w:r>
      <w:r>
        <w:rPr>
          <w:rFonts w:ascii="Times New Roman" w:cs="Times New Roman" w:eastAsia="Times New Roman" w:hAnsi="Times New Roman"/>
          <w:sz w:val="20"/>
          <w:szCs w:val="20"/>
          <w:color w:val="3F3F3F"/>
        </w:rPr>
        <w:t xml:space="preserve"> a result of the terms of the applicable plans or insurance policies,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Company shall pay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F3F3F"/>
        </w:rPr>
        <w:t xml:space="preserve"> Executive the cost, no less frequently than monthly, that the Executive must incur to obtain such benefits privately</w:t>
      </w:r>
      <w:r>
        <w:rPr>
          <w:rFonts w:ascii="Times New Roman" w:cs="Times New Roman" w:eastAsia="Times New Roman" w:hAnsi="Times New Roman"/>
          <w:sz w:val="20"/>
          <w:szCs w:val="20"/>
          <w:color w:val="6B6B6B"/>
        </w:rPr>
        <w:t>.</w:t>
      </w:r>
    </w:p>
    <w:p>
      <w:pPr>
        <w:sectPr>
          <w:pgSz w:w="11900" w:h="16838" w:orient="portrait"/>
          <w:cols w:equalWidth="0" w:num="1">
            <w:col w:w="11220"/>
          </w:cols>
          <w:pgMar w:left="380" w:top="441" w:right="299" w:bottom="1440" w:gutter="0" w:footer="0" w:header="0"/>
        </w:sectPr>
      </w:pPr>
    </w:p>
    <w:bookmarkStart w:id="118" w:name="page119"/>
    <w:bookmarkEnd w:id="118"/>
    <w:p>
      <w:pPr>
        <w:ind w:left="680" w:hanging="312"/>
        <w:spacing w:after="0"/>
        <w:tabs>
          <w:tab w:leader="none" w:pos="6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RESTRICTIVE COVENANTS</w:t>
      </w:r>
    </w:p>
    <w:p>
      <w:pPr>
        <w:spacing w:after="0" w:line="242" w:lineRule="exact"/>
        <w:rPr>
          <w:rFonts w:ascii="Times New Roman" w:cs="Times New Roman" w:eastAsia="Times New Roman" w:hAnsi="Times New Roman"/>
          <w:sz w:val="20"/>
          <w:szCs w:val="20"/>
          <w:color w:val="auto"/>
        </w:rPr>
      </w:pPr>
    </w:p>
    <w:p>
      <w:pPr>
        <w:ind w:right="140" w:firstLine="1300"/>
        <w:spacing w:after="0" w:line="282" w:lineRule="auto"/>
        <w:tabs>
          <w:tab w:leader="none" w:pos="1696" w:val="left"/>
        </w:tabs>
        <w:numPr>
          <w:ilvl w:val="4"/>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3D3D3D"/>
        </w:rPr>
        <w:t>ACKNOWLEDGMENT</w:t>
      </w:r>
      <w:r>
        <w:rPr>
          <w:rFonts w:ascii="Times New Roman" w:cs="Times New Roman" w:eastAsia="Times New Roman" w:hAnsi="Times New Roman"/>
          <w:sz w:val="19"/>
          <w:szCs w:val="19"/>
          <w:color w:val="565656"/>
        </w:rPr>
        <w:t>.</w:t>
      </w:r>
      <w:r>
        <w:rPr>
          <w:rFonts w:ascii="Times New Roman" w:cs="Times New Roman" w:eastAsia="Times New Roman" w:hAnsi="Times New Roman"/>
          <w:sz w:val="19"/>
          <w:szCs w:val="19"/>
          <w:color w:val="3D3D3D"/>
        </w:rPr>
        <w:t xml:space="preserve">S The Executive </w:t>
      </w:r>
      <w:r>
        <w:rPr>
          <w:rFonts w:ascii="Times New Roman" w:cs="Times New Roman" w:eastAsia="Times New Roman" w:hAnsi="Times New Roman"/>
          <w:sz w:val="19"/>
          <w:szCs w:val="19"/>
          <w:color w:val="262626"/>
        </w:rPr>
        <w:t>acknow</w:t>
      </w:r>
      <w:r>
        <w:rPr>
          <w:rFonts w:ascii="Times New Roman" w:cs="Times New Roman" w:eastAsia="Times New Roman" w:hAnsi="Times New Roman"/>
          <w:sz w:val="19"/>
          <w:szCs w:val="19"/>
          <w:color w:val="565656"/>
        </w:rPr>
        <w:t>l</w:t>
      </w:r>
      <w:r>
        <w:rPr>
          <w:rFonts w:ascii="Times New Roman" w:cs="Times New Roman" w:eastAsia="Times New Roman" w:hAnsi="Times New Roman"/>
          <w:sz w:val="19"/>
          <w:szCs w:val="19"/>
          <w:color w:val="3D3D3D"/>
        </w:rPr>
        <w:t xml:space="preserve">edges that as an Executive Officer of the Company (i) he frequently will </w:t>
      </w:r>
      <w:r>
        <w:rPr>
          <w:rFonts w:ascii="Times New Roman" w:cs="Times New Roman" w:eastAsia="Times New Roman" w:hAnsi="Times New Roman"/>
          <w:sz w:val="19"/>
          <w:szCs w:val="19"/>
          <w:color w:val="262626"/>
        </w:rPr>
        <w:t>be</w:t>
      </w:r>
      <w:r>
        <w:rPr>
          <w:rFonts w:ascii="Times New Roman" w:cs="Times New Roman" w:eastAsia="Times New Roman" w:hAnsi="Times New Roman"/>
          <w:sz w:val="19"/>
          <w:szCs w:val="19"/>
          <w:color w:val="3D3D3D"/>
        </w:rPr>
        <w:t xml:space="preserve"> exposed to certain "Trade Secrets" and "Confident</w:t>
      </w:r>
      <w:r>
        <w:rPr>
          <w:rFonts w:ascii="Times New Roman" w:cs="Times New Roman" w:eastAsia="Times New Roman" w:hAnsi="Times New Roman"/>
          <w:sz w:val="19"/>
          <w:szCs w:val="19"/>
          <w:color w:val="565656"/>
        </w:rPr>
        <w:t>i</w:t>
      </w:r>
      <w:r>
        <w:rPr>
          <w:rFonts w:ascii="Times New Roman" w:cs="Times New Roman" w:eastAsia="Times New Roman" w:hAnsi="Times New Roman"/>
          <w:sz w:val="19"/>
          <w:szCs w:val="19"/>
          <w:color w:val="3D3D3D"/>
        </w:rPr>
        <w:t>al Information" of the Company (as those terms are defined in Subsection 4(b)),</w:t>
      </w:r>
    </w:p>
    <w:p>
      <w:pPr>
        <w:spacing w:after="0" w:line="1" w:lineRule="exact"/>
        <w:rPr>
          <w:rFonts w:ascii="Times New Roman" w:cs="Times New Roman" w:eastAsia="Times New Roman" w:hAnsi="Times New Roman"/>
          <w:sz w:val="19"/>
          <w:szCs w:val="19"/>
          <w:color w:val="auto"/>
        </w:rPr>
      </w:pPr>
    </w:p>
    <w:p>
      <w:pPr>
        <w:ind w:left="300" w:hanging="297"/>
        <w:spacing w:after="0"/>
        <w:tabs>
          <w:tab w:leader="none" w:pos="300" w:val="left"/>
        </w:tabs>
        <w:numPr>
          <w:ilvl w:val="0"/>
          <w:numId w:val="31"/>
        </w:numPr>
        <w:rPr>
          <w:rFonts w:ascii="Times New Roman" w:cs="Times New Roman" w:eastAsia="Times New Roman" w:hAnsi="Times New Roman"/>
          <w:sz w:val="20"/>
          <w:szCs w:val="20"/>
          <w:color w:val="3D3D3D"/>
        </w:rPr>
      </w:pPr>
      <w:r>
        <w:rPr>
          <w:rFonts w:ascii="Times New Roman" w:cs="Times New Roman" w:eastAsia="Times New Roman" w:hAnsi="Times New Roman"/>
          <w:sz w:val="20"/>
          <w:szCs w:val="20"/>
          <w:color w:val="3D3D3D"/>
        </w:rPr>
        <w:t xml:space="preserve">his responsibilities on </w:t>
      </w:r>
      <w:r>
        <w:rPr>
          <w:rFonts w:ascii="Times New Roman" w:cs="Times New Roman" w:eastAsia="Times New Roman" w:hAnsi="Times New Roman"/>
          <w:sz w:val="20"/>
          <w:szCs w:val="20"/>
          <w:color w:val="262626"/>
        </w:rPr>
        <w:t>behalf</w:t>
      </w:r>
      <w:r>
        <w:rPr>
          <w:rFonts w:ascii="Times New Roman" w:cs="Times New Roman" w:eastAsia="Times New Roman" w:hAnsi="Times New Roman"/>
          <w:sz w:val="20"/>
          <w:szCs w:val="20"/>
          <w:color w:val="3D3D3D"/>
        </w:rPr>
        <w:t xml:space="preserve"> of the Company will extend to all geograph</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3D3D3D"/>
        </w:rPr>
        <w:t xml:space="preserve">cal areas where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color w:val="3D3D3D"/>
        </w:rPr>
        <w:t xml:space="preserve"> Company </w:t>
      </w:r>
      <w:r>
        <w:rPr>
          <w:rFonts w:ascii="Times New Roman" w:cs="Times New Roman" w:eastAsia="Times New Roman" w:hAnsi="Times New Roman"/>
          <w:sz w:val="20"/>
          <w:szCs w:val="20"/>
          <w:color w:val="262626"/>
        </w:rPr>
        <w:t>is</w:t>
      </w:r>
      <w:r>
        <w:rPr>
          <w:rFonts w:ascii="Times New Roman" w:cs="Times New Roman" w:eastAsia="Times New Roman" w:hAnsi="Times New Roman"/>
          <w:sz w:val="20"/>
          <w:szCs w:val="20"/>
          <w:color w:val="3D3D3D"/>
        </w:rPr>
        <w:t xml:space="preserve"> doing business, and (iii) any</w:t>
      </w:r>
    </w:p>
    <w:p>
      <w:pPr>
        <w:spacing w:after="0" w:line="26" w:lineRule="exact"/>
        <w:rPr>
          <w:rFonts w:ascii="Times New Roman" w:cs="Times New Roman" w:eastAsia="Times New Roman" w:hAnsi="Times New Roman"/>
          <w:sz w:val="20"/>
          <w:szCs w:val="20"/>
          <w:color w:val="3D3D3D"/>
        </w:rPr>
      </w:pPr>
    </w:p>
    <w:p>
      <w:pPr>
        <w:ind w:right="60"/>
        <w:spacing w:after="0" w:line="271" w:lineRule="auto"/>
        <w:rPr>
          <w:rFonts w:ascii="Times New Roman" w:cs="Times New Roman" w:eastAsia="Times New Roman" w:hAnsi="Times New Roman"/>
          <w:sz w:val="20"/>
          <w:szCs w:val="20"/>
          <w:color w:val="3D3D3D"/>
        </w:rPr>
      </w:pPr>
      <w:r>
        <w:rPr>
          <w:rFonts w:ascii="Times New Roman" w:cs="Times New Roman" w:eastAsia="Times New Roman" w:hAnsi="Times New Roman"/>
          <w:sz w:val="20"/>
          <w:szCs w:val="20"/>
          <w:color w:val="3D3D3D"/>
        </w:rPr>
        <w:t xml:space="preserve">competitive activity on his part during the term of his employment and for </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3D3D3D"/>
        </w:rPr>
        <w:t xml:space="preserve"> reasonable period </w:t>
      </w:r>
      <w:r>
        <w:rPr>
          <w:rFonts w:ascii="Times New Roman" w:cs="Times New Roman" w:eastAsia="Times New Roman" w:hAnsi="Times New Roman"/>
          <w:sz w:val="20"/>
          <w:szCs w:val="20"/>
          <w:color w:val="262626"/>
        </w:rPr>
        <w:t>thereafter</w:t>
      </w:r>
      <w:r>
        <w:rPr>
          <w:rFonts w:ascii="Times New Roman" w:cs="Times New Roman" w:eastAsia="Times New Roman" w:hAnsi="Times New Roman"/>
          <w:sz w:val="20"/>
          <w:szCs w:val="20"/>
          <w:color w:val="3D3D3D"/>
        </w:rPr>
        <w:t xml:space="preserve"> would n</w:t>
      </w:r>
      <w:r>
        <w:rPr>
          <w:rFonts w:ascii="Times New Roman" w:cs="Times New Roman" w:eastAsia="Times New Roman" w:hAnsi="Times New Roman"/>
          <w:sz w:val="20"/>
          <w:szCs w:val="20"/>
          <w:color w:val="565656"/>
        </w:rPr>
        <w:t>e</w:t>
      </w:r>
      <w:r>
        <w:rPr>
          <w:rFonts w:ascii="Times New Roman" w:cs="Times New Roman" w:eastAsia="Times New Roman" w:hAnsi="Times New Roman"/>
          <w:sz w:val="20"/>
          <w:szCs w:val="20"/>
          <w:color w:val="3D3D3D"/>
        </w:rPr>
        <w:t>cessarily involve his use of the Company's Trade Secrets and Confidential Information and</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3D3D3D"/>
        </w:rPr>
        <w:t xml:space="preserve"> therefore, would </w:t>
      </w:r>
      <w:r>
        <w:rPr>
          <w:rFonts w:ascii="Times New Roman" w:cs="Times New Roman" w:eastAsia="Times New Roman" w:hAnsi="Times New Roman"/>
          <w:sz w:val="20"/>
          <w:szCs w:val="20"/>
          <w:color w:val="262626"/>
        </w:rPr>
        <w:t>unfairly threaten</w:t>
      </w:r>
      <w:r>
        <w:rPr>
          <w:rFonts w:ascii="Times New Roman" w:cs="Times New Roman" w:eastAsia="Times New Roman" w:hAnsi="Times New Roman"/>
          <w:sz w:val="20"/>
          <w:szCs w:val="20"/>
          <w:color w:val="3D3D3D"/>
        </w:rPr>
        <w:t xml:space="preserve"> the Company's </w:t>
      </w:r>
      <w:r>
        <w:rPr>
          <w:rFonts w:ascii="Times New Roman" w:cs="Times New Roman" w:eastAsia="Times New Roman" w:hAnsi="Times New Roman"/>
          <w:sz w:val="20"/>
          <w:szCs w:val="20"/>
          <w:color w:val="262626"/>
        </w:rPr>
        <w:t>legitimate</w:t>
      </w:r>
      <w:r>
        <w:rPr>
          <w:rFonts w:ascii="Times New Roman" w:cs="Times New Roman" w:eastAsia="Times New Roman" w:hAnsi="Times New Roman"/>
          <w:sz w:val="20"/>
          <w:szCs w:val="20"/>
          <w:color w:val="3D3D3D"/>
        </w:rPr>
        <w:t xml:space="preserve"> business </w:t>
      </w:r>
      <w:r>
        <w:rPr>
          <w:rFonts w:ascii="Times New Roman" w:cs="Times New Roman" w:eastAsia="Times New Roman" w:hAnsi="Times New Roman"/>
          <w:sz w:val="20"/>
          <w:szCs w:val="20"/>
          <w:color w:val="262626"/>
        </w:rPr>
        <w:t xml:space="preserve">interests, including </w:t>
      </w:r>
      <w:r>
        <w:rPr>
          <w:rFonts w:ascii="Times New Roman" w:cs="Times New Roman" w:eastAsia="Times New Roman" w:hAnsi="Times New Roman"/>
          <w:sz w:val="20"/>
          <w:szCs w:val="20"/>
          <w:color w:val="3D3D3D"/>
        </w:rPr>
        <w:t>its substantial investment in</w:t>
      </w:r>
      <w:r>
        <w:rPr>
          <w:rFonts w:ascii="Times New Roman" w:cs="Times New Roman" w:eastAsia="Times New Roman" w:hAnsi="Times New Roman"/>
          <w:sz w:val="20"/>
          <w:szCs w:val="20"/>
          <w:color w:val="262626"/>
        </w:rPr>
        <w:t xml:space="preserve"> the </w:t>
      </w:r>
      <w:r>
        <w:rPr>
          <w:rFonts w:ascii="Times New Roman" w:cs="Times New Roman" w:eastAsia="Times New Roman" w:hAnsi="Times New Roman"/>
          <w:sz w:val="20"/>
          <w:szCs w:val="20"/>
          <w:color w:val="3D3D3D"/>
        </w:rPr>
        <w:t>proprietary aspects of its business and the goodwill associated with its customer base.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3D3D3D"/>
        </w:rPr>
        <w:t xml:space="preserve">Moreover, the Executive acknowledges that, in the event of the termination of his employment with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color w:val="3D3D3D"/>
        </w:rPr>
        <w:t xml:space="preserve"> Company, </w:t>
      </w:r>
      <w:r>
        <w:rPr>
          <w:rFonts w:ascii="Times New Roman" w:cs="Times New Roman" w:eastAsia="Times New Roman" w:hAnsi="Times New Roman"/>
          <w:sz w:val="20"/>
          <w:szCs w:val="20"/>
          <w:color w:val="262626"/>
        </w:rPr>
        <w:t>he</w:t>
      </w:r>
      <w:r>
        <w:rPr>
          <w:rFonts w:ascii="Times New Roman" w:cs="Times New Roman" w:eastAsia="Times New Roman" w:hAnsi="Times New Roman"/>
          <w:sz w:val="20"/>
          <w:szCs w:val="20"/>
          <w:color w:val="3D3D3D"/>
        </w:rPr>
        <w:t xml:space="preserve"> would </w:t>
      </w:r>
      <w:r>
        <w:rPr>
          <w:rFonts w:ascii="Times New Roman" w:cs="Times New Roman" w:eastAsia="Times New Roman" w:hAnsi="Times New Roman"/>
          <w:sz w:val="20"/>
          <w:szCs w:val="20"/>
          <w:color w:val="262626"/>
        </w:rPr>
        <w:t>have</w:t>
      </w:r>
      <w:r>
        <w:rPr>
          <w:rFonts w:ascii="Times New Roman" w:cs="Times New Roman" w:eastAsia="Times New Roman" w:hAnsi="Times New Roman"/>
          <w:sz w:val="20"/>
          <w:szCs w:val="20"/>
          <w:color w:val="3D3D3D"/>
        </w:rPr>
        <w:t xml:space="preserve"> sufficient skills </w:t>
      </w:r>
      <w:r>
        <w:rPr>
          <w:rFonts w:ascii="Times New Roman" w:cs="Times New Roman" w:eastAsia="Times New Roman" w:hAnsi="Times New Roman"/>
          <w:sz w:val="20"/>
          <w:szCs w:val="20"/>
          <w:color w:val="262626"/>
        </w:rPr>
        <w:t>to</w:t>
      </w:r>
      <w:r>
        <w:rPr>
          <w:rFonts w:ascii="Times New Roman" w:cs="Times New Roman" w:eastAsia="Times New Roman" w:hAnsi="Times New Roman"/>
          <w:sz w:val="20"/>
          <w:szCs w:val="20"/>
          <w:color w:val="3D3D3D"/>
        </w:rPr>
        <w:t xml:space="preserve"> find alternative</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3D3D3D"/>
        </w:rPr>
        <w:t xml:space="preserve"> commensurate work in </w:t>
      </w:r>
      <w:r>
        <w:rPr>
          <w:rFonts w:ascii="Times New Roman" w:cs="Times New Roman" w:eastAsia="Times New Roman" w:hAnsi="Times New Roman"/>
          <w:sz w:val="20"/>
          <w:szCs w:val="20"/>
          <w:color w:val="262626"/>
        </w:rPr>
        <w:t>his</w:t>
      </w:r>
      <w:r>
        <w:rPr>
          <w:rFonts w:ascii="Times New Roman" w:cs="Times New Roman" w:eastAsia="Times New Roman" w:hAnsi="Times New Roman"/>
          <w:sz w:val="20"/>
          <w:szCs w:val="20"/>
          <w:color w:val="3D3D3D"/>
        </w:rPr>
        <w:t xml:space="preserve"> field of expertise that would </w:t>
      </w:r>
      <w:r>
        <w:rPr>
          <w:rFonts w:ascii="Times New Roman" w:cs="Times New Roman" w:eastAsia="Times New Roman" w:hAnsi="Times New Roman"/>
          <w:sz w:val="20"/>
          <w:szCs w:val="20"/>
          <w:color w:val="262626"/>
        </w:rPr>
        <w:t>not</w:t>
      </w:r>
      <w:r>
        <w:rPr>
          <w:rFonts w:ascii="Times New Roman" w:cs="Times New Roman" w:eastAsia="Times New Roman" w:hAnsi="Times New Roman"/>
          <w:sz w:val="20"/>
          <w:szCs w:val="20"/>
          <w:color w:val="3D3D3D"/>
        </w:rPr>
        <w:t xml:space="preserve"> involve a violation of any of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color w:val="3D3D3D"/>
        </w:rPr>
        <w:t xml:space="preserve"> provisions of </w:t>
      </w:r>
      <w:r>
        <w:rPr>
          <w:rFonts w:ascii="Times New Roman" w:cs="Times New Roman" w:eastAsia="Times New Roman" w:hAnsi="Times New Roman"/>
          <w:sz w:val="20"/>
          <w:szCs w:val="20"/>
          <w:color w:val="262626"/>
        </w:rPr>
        <w:t>this</w:t>
      </w:r>
      <w:r>
        <w:rPr>
          <w:rFonts w:ascii="Times New Roman" w:cs="Times New Roman" w:eastAsia="Times New Roman" w:hAnsi="Times New Roman"/>
          <w:sz w:val="20"/>
          <w:szCs w:val="20"/>
          <w:color w:val="3D3D3D"/>
        </w:rPr>
        <w:t xml:space="preserve"> Section 4. Therefore, the Executive acknowledges and agrees that it is reasonable for the Company to require </w:t>
      </w:r>
      <w:r>
        <w:rPr>
          <w:rFonts w:ascii="Times New Roman" w:cs="Times New Roman" w:eastAsia="Times New Roman" w:hAnsi="Times New Roman"/>
          <w:sz w:val="20"/>
          <w:szCs w:val="20"/>
          <w:color w:val="262626"/>
        </w:rPr>
        <w:t>him</w:t>
      </w:r>
      <w:r>
        <w:rPr>
          <w:rFonts w:ascii="Times New Roman" w:cs="Times New Roman" w:eastAsia="Times New Roman" w:hAnsi="Times New Roman"/>
          <w:sz w:val="20"/>
          <w:szCs w:val="20"/>
          <w:color w:val="3D3D3D"/>
        </w:rPr>
        <w:t xml:space="preserve"> to </w:t>
      </w:r>
      <w:r>
        <w:rPr>
          <w:rFonts w:ascii="Times New Roman" w:cs="Times New Roman" w:eastAsia="Times New Roman" w:hAnsi="Times New Roman"/>
          <w:sz w:val="20"/>
          <w:szCs w:val="20"/>
          <w:color w:val="262626"/>
        </w:rPr>
        <w:t>abide</w:t>
      </w:r>
      <w:r>
        <w:rPr>
          <w:rFonts w:ascii="Times New Roman" w:cs="Times New Roman" w:eastAsia="Times New Roman" w:hAnsi="Times New Roman"/>
          <w:sz w:val="20"/>
          <w:szCs w:val="20"/>
          <w:color w:val="3D3D3D"/>
        </w:rPr>
        <w:t xml:space="preserve"> by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color w:val="3D3D3D"/>
        </w:rPr>
        <w:t xml:space="preserve"> covenants </w:t>
      </w:r>
      <w:r>
        <w:rPr>
          <w:rFonts w:ascii="Times New Roman" w:cs="Times New Roman" w:eastAsia="Times New Roman" w:hAnsi="Times New Roman"/>
          <w:sz w:val="20"/>
          <w:szCs w:val="20"/>
          <w:color w:val="262626"/>
        </w:rPr>
        <w:t xml:space="preserve">set </w:t>
      </w:r>
      <w:r>
        <w:rPr>
          <w:rFonts w:ascii="Times New Roman" w:cs="Times New Roman" w:eastAsia="Times New Roman" w:hAnsi="Times New Roman"/>
          <w:sz w:val="20"/>
          <w:szCs w:val="20"/>
          <w:color w:val="3D3D3D"/>
        </w:rPr>
        <w:t>forth in this Section 4. The parties acknowledge and agree that if the nature of the Executive's responsibilities for or on</w:t>
      </w:r>
      <w:r>
        <w:rPr>
          <w:rFonts w:ascii="Times New Roman" w:cs="Times New Roman" w:eastAsia="Times New Roman" w:hAnsi="Times New Roman"/>
          <w:sz w:val="20"/>
          <w:szCs w:val="20"/>
          <w:color w:val="262626"/>
        </w:rPr>
        <w:t xml:space="preserve"> behalf </w:t>
      </w:r>
      <w:r>
        <w:rPr>
          <w:rFonts w:ascii="Times New Roman" w:cs="Times New Roman" w:eastAsia="Times New Roman" w:hAnsi="Times New Roman"/>
          <w:sz w:val="20"/>
          <w:szCs w:val="20"/>
          <w:color w:val="3D3D3D"/>
        </w:rPr>
        <w:t>of the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3D3D3D"/>
        </w:rPr>
        <w:t>Company and the geographical areas in which the Executive must fulfill them materially change</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 the parties will execute appropriate amendments to the scope of the covenants in this Section </w:t>
      </w:r>
      <w:r>
        <w:rPr>
          <w:rFonts w:ascii="Times New Roman" w:cs="Times New Roman" w:eastAsia="Times New Roman" w:hAnsi="Times New Roman"/>
          <w:sz w:val="20"/>
          <w:szCs w:val="20"/>
          <w:color w:val="262626"/>
        </w:rPr>
        <w:t>4.</w:t>
      </w:r>
    </w:p>
    <w:p>
      <w:pPr>
        <w:spacing w:after="0" w:line="186" w:lineRule="exact"/>
        <w:rPr>
          <w:rFonts w:ascii="Times New Roman" w:cs="Times New Roman" w:eastAsia="Times New Roman" w:hAnsi="Times New Roman"/>
          <w:sz w:val="20"/>
          <w:szCs w:val="20"/>
          <w:color w:val="3D3D3D"/>
        </w:rPr>
      </w:pPr>
    </w:p>
    <w:p>
      <w:pPr>
        <w:ind w:left="1600" w:hanging="314"/>
        <w:spacing w:after="0"/>
        <w:tabs>
          <w:tab w:leader="none" w:pos="1600" w:val="left"/>
        </w:tabs>
        <w:numPr>
          <w:ilvl w:val="4"/>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DEFINTIONS.</w:t>
      </w:r>
    </w:p>
    <w:p>
      <w:pPr>
        <w:spacing w:after="0" w:line="256" w:lineRule="exact"/>
        <w:rPr>
          <w:rFonts w:ascii="Times New Roman" w:cs="Times New Roman" w:eastAsia="Times New Roman" w:hAnsi="Times New Roman"/>
          <w:sz w:val="20"/>
          <w:szCs w:val="20"/>
          <w:color w:val="auto"/>
        </w:rPr>
      </w:pPr>
    </w:p>
    <w:p>
      <w:pPr>
        <w:ind w:left="2100" w:hanging="814"/>
        <w:spacing w:after="0"/>
        <w:tabs>
          <w:tab w:leader="none" w:pos="2100" w:val="left"/>
        </w:tabs>
        <w:numPr>
          <w:ilvl w:val="3"/>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Business of Company" means designing</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62626"/>
        </w:rPr>
        <w:t>manufacturing,</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marketing, and distr</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3D3D3D"/>
        </w:rPr>
        <w:t>buting agricultural equipment.</w:t>
      </w:r>
    </w:p>
    <w:p>
      <w:pPr>
        <w:spacing w:after="0" w:line="269" w:lineRule="exact"/>
        <w:rPr>
          <w:rFonts w:ascii="Times New Roman" w:cs="Times New Roman" w:eastAsia="Times New Roman" w:hAnsi="Times New Roman"/>
          <w:sz w:val="20"/>
          <w:szCs w:val="20"/>
          <w:color w:val="auto"/>
        </w:rPr>
      </w:pPr>
    </w:p>
    <w:p>
      <w:pPr>
        <w:ind w:left="1280" w:firstLine="6"/>
        <w:spacing w:after="0" w:line="296" w:lineRule="auto"/>
        <w:tabs>
          <w:tab w:leader="none" w:pos="2143" w:val="left"/>
        </w:tabs>
        <w:numPr>
          <w:ilvl w:val="3"/>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Material Contact" as</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62626"/>
        </w:rPr>
        <w:t>used</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in the</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62626"/>
        </w:rPr>
        <w:t>non-solicitation</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provision below means pe</w:t>
      </w:r>
      <w:r>
        <w:rPr>
          <w:rFonts w:ascii="Times New Roman" w:cs="Times New Roman" w:eastAsia="Times New Roman" w:hAnsi="Times New Roman"/>
          <w:sz w:val="20"/>
          <w:szCs w:val="20"/>
          <w:color w:val="565656"/>
        </w:rPr>
        <w:t>r</w:t>
      </w:r>
      <w:r>
        <w:rPr>
          <w:rFonts w:ascii="Times New Roman" w:cs="Times New Roman" w:eastAsia="Times New Roman" w:hAnsi="Times New Roman"/>
          <w:sz w:val="20"/>
          <w:szCs w:val="20"/>
          <w:color w:val="3D3D3D"/>
        </w:rPr>
        <w:t>sonal contact or the supervision of</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 xml:space="preserve">efforts of those who have personal contact with an existing or potential Customer or Vendor in an effort to further or create a business </w:t>
      </w:r>
      <w:r>
        <w:rPr>
          <w:rFonts w:ascii="Times New Roman" w:cs="Times New Roman" w:eastAsia="Times New Roman" w:hAnsi="Times New Roman"/>
          <w:sz w:val="20"/>
          <w:szCs w:val="20"/>
          <w:color w:val="565656"/>
        </w:rPr>
        <w:t>r</w:t>
      </w:r>
      <w:r>
        <w:rPr>
          <w:rFonts w:ascii="Times New Roman" w:cs="Times New Roman" w:eastAsia="Times New Roman" w:hAnsi="Times New Roman"/>
          <w:sz w:val="20"/>
          <w:szCs w:val="20"/>
          <w:color w:val="3D3D3D"/>
        </w:rPr>
        <w:t>elationsh</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3D3D3D"/>
        </w:rPr>
        <w:t xml:space="preserve">p between the Company and </w:t>
      </w:r>
      <w:r>
        <w:rPr>
          <w:rFonts w:ascii="Times New Roman" w:cs="Times New Roman" w:eastAsia="Times New Roman" w:hAnsi="Times New Roman"/>
          <w:sz w:val="20"/>
          <w:szCs w:val="20"/>
          <w:color w:val="262626"/>
        </w:rPr>
        <w:t>such</w:t>
      </w:r>
      <w:r>
        <w:rPr>
          <w:rFonts w:ascii="Times New Roman" w:cs="Times New Roman" w:eastAsia="Times New Roman" w:hAnsi="Times New Roman"/>
          <w:sz w:val="20"/>
          <w:szCs w:val="20"/>
          <w:color w:val="3D3D3D"/>
        </w:rPr>
        <w:t xml:space="preserve"> existing or potential Customer or Vendor.</w:t>
      </w:r>
    </w:p>
    <w:p>
      <w:pPr>
        <w:spacing w:after="0" w:line="188" w:lineRule="exact"/>
        <w:rPr>
          <w:rFonts w:ascii="Times New Roman" w:cs="Times New Roman" w:eastAsia="Times New Roman" w:hAnsi="Times New Roman"/>
          <w:sz w:val="20"/>
          <w:szCs w:val="20"/>
          <w:color w:val="auto"/>
        </w:rPr>
      </w:pPr>
    </w:p>
    <w:p>
      <w:pPr>
        <w:ind w:left="1280" w:right="60" w:hanging="7"/>
        <w:spacing w:after="0" w:line="286" w:lineRule="auto"/>
        <w:tabs>
          <w:tab w:leader="none" w:pos="2225"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3D3D3D"/>
        </w:rPr>
        <w:t>Confidential Information" means</w:t>
      </w:r>
      <w:r>
        <w:rPr>
          <w:rFonts w:ascii="Times New Roman" w:cs="Times New Roman" w:eastAsia="Times New Roman" w:hAnsi="Times New Roman"/>
          <w:sz w:val="20"/>
          <w:szCs w:val="20"/>
          <w:color w:val="676767"/>
        </w:rPr>
        <w:t xml:space="preserve"> </w:t>
      </w:r>
      <w:r>
        <w:rPr>
          <w:rFonts w:ascii="Times New Roman" w:cs="Times New Roman" w:eastAsia="Times New Roman" w:hAnsi="Times New Roman"/>
          <w:sz w:val="20"/>
          <w:szCs w:val="20"/>
          <w:color w:val="262626"/>
        </w:rPr>
        <w:t>information</w:t>
      </w:r>
      <w:r>
        <w:rPr>
          <w:rFonts w:ascii="Times New Roman" w:cs="Times New Roman" w:eastAsia="Times New Roman" w:hAnsi="Times New Roman"/>
          <w:sz w:val="20"/>
          <w:szCs w:val="20"/>
          <w:color w:val="676767"/>
        </w:rPr>
        <w:t xml:space="preserve"> </w:t>
      </w:r>
      <w:r>
        <w:rPr>
          <w:rFonts w:ascii="Times New Roman" w:cs="Times New Roman" w:eastAsia="Times New Roman" w:hAnsi="Times New Roman"/>
          <w:sz w:val="20"/>
          <w:szCs w:val="20"/>
          <w:color w:val="3D3D3D"/>
        </w:rPr>
        <w:t>about the</w:t>
      </w:r>
      <w:r>
        <w:rPr>
          <w:rFonts w:ascii="Times New Roman" w:cs="Times New Roman" w:eastAsia="Times New Roman" w:hAnsi="Times New Roman"/>
          <w:sz w:val="20"/>
          <w:szCs w:val="20"/>
          <w:color w:val="676767"/>
        </w:rPr>
        <w:t xml:space="preserve"> </w:t>
      </w:r>
      <w:r>
        <w:rPr>
          <w:rFonts w:ascii="Times New Roman" w:cs="Times New Roman" w:eastAsia="Times New Roman" w:hAnsi="Times New Roman"/>
          <w:sz w:val="20"/>
          <w:szCs w:val="20"/>
          <w:color w:val="565656"/>
        </w:rPr>
        <w:t>C</w:t>
      </w:r>
      <w:r>
        <w:rPr>
          <w:rFonts w:ascii="Times New Roman" w:cs="Times New Roman" w:eastAsia="Times New Roman" w:hAnsi="Times New Roman"/>
          <w:sz w:val="20"/>
          <w:szCs w:val="20"/>
          <w:color w:val="3D3D3D"/>
        </w:rPr>
        <w:t>ompany, its Executives, and Customers wh</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3D3D3D"/>
        </w:rPr>
        <w:t>ch is not</w:t>
      </w:r>
      <w:r>
        <w:rPr>
          <w:rFonts w:ascii="Times New Roman" w:cs="Times New Roman" w:eastAsia="Times New Roman" w:hAnsi="Times New Roman"/>
          <w:sz w:val="20"/>
          <w:szCs w:val="20"/>
          <w:color w:val="676767"/>
        </w:rPr>
        <w:t xml:space="preserve"> </w:t>
      </w:r>
      <w:r>
        <w:rPr>
          <w:rFonts w:ascii="Times New Roman" w:cs="Times New Roman" w:eastAsia="Times New Roman" w:hAnsi="Times New Roman"/>
          <w:sz w:val="20"/>
          <w:szCs w:val="20"/>
          <w:color w:val="3D3D3D"/>
        </w:rPr>
        <w:t>generally known outside of the Company, which the Executive learns of in connectio</w:t>
      </w:r>
      <w:r>
        <w:rPr>
          <w:rFonts w:ascii="Times New Roman" w:cs="Times New Roman" w:eastAsia="Times New Roman" w:hAnsi="Times New Roman"/>
          <w:sz w:val="20"/>
          <w:szCs w:val="20"/>
          <w:color w:val="565656"/>
        </w:rPr>
        <w:t>n</w:t>
      </w:r>
      <w:r>
        <w:rPr>
          <w:rFonts w:ascii="Times New Roman" w:cs="Times New Roman" w:eastAsia="Times New Roman" w:hAnsi="Times New Roman"/>
          <w:sz w:val="20"/>
          <w:szCs w:val="20"/>
          <w:color w:val="3D3D3D"/>
        </w:rPr>
        <w:t xml:space="preserve"> wit</w:t>
      </w:r>
      <w:r>
        <w:rPr>
          <w:rFonts w:ascii="Times New Roman" w:cs="Times New Roman" w:eastAsia="Times New Roman" w:hAnsi="Times New Roman"/>
          <w:sz w:val="20"/>
          <w:szCs w:val="20"/>
          <w:color w:val="565656"/>
        </w:rPr>
        <w:t>h</w:t>
      </w:r>
      <w:r>
        <w:rPr>
          <w:rFonts w:ascii="Times New Roman" w:cs="Times New Roman" w:eastAsia="Times New Roman" w:hAnsi="Times New Roman"/>
          <w:sz w:val="20"/>
          <w:szCs w:val="20"/>
          <w:color w:val="3D3D3D"/>
        </w:rPr>
        <w:t xml:space="preserve"> the Executive's employment with the Company</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 and which would be useful to competitors of the Company or potentially harmful to the Company</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s reputation. Confidential Information </w:t>
      </w:r>
      <w:r>
        <w:rPr>
          <w:rFonts w:ascii="Times New Roman" w:cs="Times New Roman" w:eastAsia="Times New Roman" w:hAnsi="Times New Roman"/>
          <w:sz w:val="20"/>
          <w:szCs w:val="20"/>
          <w:color w:val="262626"/>
        </w:rPr>
        <w:t>includes,</w:t>
      </w:r>
      <w:r>
        <w:rPr>
          <w:rFonts w:ascii="Times New Roman" w:cs="Times New Roman" w:eastAsia="Times New Roman" w:hAnsi="Times New Roman"/>
          <w:sz w:val="20"/>
          <w:szCs w:val="20"/>
          <w:color w:val="3D3D3D"/>
        </w:rPr>
        <w:t xml:space="preserve"> but is not </w:t>
      </w:r>
      <w:r>
        <w:rPr>
          <w:rFonts w:ascii="Times New Roman" w:cs="Times New Roman" w:eastAsia="Times New Roman" w:hAnsi="Times New Roman"/>
          <w:sz w:val="20"/>
          <w:szCs w:val="20"/>
          <w:color w:val="262626"/>
        </w:rPr>
        <w:t>limited</w:t>
      </w:r>
      <w:r>
        <w:rPr>
          <w:rFonts w:ascii="Times New Roman" w:cs="Times New Roman" w:eastAsia="Times New Roman" w:hAnsi="Times New Roman"/>
          <w:sz w:val="20"/>
          <w:szCs w:val="20"/>
          <w:color w:val="3D3D3D"/>
        </w:rPr>
        <w:t xml:space="preserve"> to: (1) business and employment policies, marketing methods and the targets of those methods, finances, business plans, promot</w:t>
      </w:r>
      <w:r>
        <w:rPr>
          <w:rFonts w:ascii="Times New Roman" w:cs="Times New Roman" w:eastAsia="Times New Roman" w:hAnsi="Times New Roman"/>
          <w:sz w:val="20"/>
          <w:szCs w:val="20"/>
          <w:color w:val="676767"/>
        </w:rPr>
        <w:t>i</w:t>
      </w:r>
      <w:r>
        <w:rPr>
          <w:rFonts w:ascii="Times New Roman" w:cs="Times New Roman" w:eastAsia="Times New Roman" w:hAnsi="Times New Roman"/>
          <w:sz w:val="20"/>
          <w:szCs w:val="20"/>
          <w:color w:val="3D3D3D"/>
        </w:rPr>
        <w:t xml:space="preserve">onal materials and </w:t>
      </w:r>
      <w:r>
        <w:rPr>
          <w:rFonts w:ascii="Times New Roman" w:cs="Times New Roman" w:eastAsia="Times New Roman" w:hAnsi="Times New Roman"/>
          <w:sz w:val="20"/>
          <w:szCs w:val="20"/>
          <w:color w:val="262626"/>
        </w:rPr>
        <w:t>price</w:t>
      </w:r>
      <w:r>
        <w:rPr>
          <w:rFonts w:ascii="Times New Roman" w:cs="Times New Roman" w:eastAsia="Times New Roman" w:hAnsi="Times New Roman"/>
          <w:sz w:val="20"/>
          <w:szCs w:val="20"/>
          <w:color w:val="3D3D3D"/>
        </w:rPr>
        <w:t xml:space="preserve"> lists; (2) the terms upon which the Company hires employees and provides services to </w:t>
      </w:r>
      <w:r>
        <w:rPr>
          <w:rFonts w:ascii="Times New Roman" w:cs="Times New Roman" w:eastAsia="Times New Roman" w:hAnsi="Times New Roman"/>
          <w:sz w:val="20"/>
          <w:szCs w:val="20"/>
          <w:color w:val="262626"/>
        </w:rPr>
        <w:t>its</w:t>
      </w:r>
      <w:r>
        <w:rPr>
          <w:rFonts w:ascii="Times New Roman" w:cs="Times New Roman" w:eastAsia="Times New Roman" w:hAnsi="Times New Roman"/>
          <w:sz w:val="20"/>
          <w:szCs w:val="20"/>
          <w:color w:val="3D3D3D"/>
        </w:rPr>
        <w:t xml:space="preserve"> Customers; (3) the nature</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 origin, composition and development of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color w:val="3D3D3D"/>
        </w:rPr>
        <w:t xml:space="preserve"> Company</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 s products and services; and (4) the </w:t>
      </w:r>
      <w:r>
        <w:rPr>
          <w:rFonts w:ascii="Times New Roman" w:cs="Times New Roman" w:eastAsia="Times New Roman" w:hAnsi="Times New Roman"/>
          <w:sz w:val="20"/>
          <w:szCs w:val="20"/>
          <w:color w:val="262626"/>
        </w:rPr>
        <w:t>manner in</w:t>
      </w:r>
      <w:r>
        <w:rPr>
          <w:rFonts w:ascii="Times New Roman" w:cs="Times New Roman" w:eastAsia="Times New Roman" w:hAnsi="Times New Roman"/>
          <w:sz w:val="20"/>
          <w:szCs w:val="20"/>
          <w:color w:val="3D3D3D"/>
        </w:rPr>
        <w:t xml:space="preserve"> which the Company provides products and services to </w:t>
      </w:r>
      <w:r>
        <w:rPr>
          <w:rFonts w:ascii="Times New Roman" w:cs="Times New Roman" w:eastAsia="Times New Roman" w:hAnsi="Times New Roman"/>
          <w:sz w:val="20"/>
          <w:szCs w:val="20"/>
          <w:color w:val="262626"/>
        </w:rPr>
        <w:t>its</w:t>
      </w:r>
      <w:r>
        <w:rPr>
          <w:rFonts w:ascii="Times New Roman" w:cs="Times New Roman" w:eastAsia="Times New Roman" w:hAnsi="Times New Roman"/>
          <w:sz w:val="20"/>
          <w:szCs w:val="20"/>
          <w:color w:val="3D3D3D"/>
        </w:rPr>
        <w:t xml:space="preserve"> Customers.</w:t>
      </w:r>
    </w:p>
    <w:p>
      <w:pPr>
        <w:spacing w:after="0" w:line="197" w:lineRule="exact"/>
        <w:rPr>
          <w:rFonts w:ascii="Times New Roman" w:cs="Times New Roman" w:eastAsia="Times New Roman" w:hAnsi="Times New Roman"/>
          <w:sz w:val="20"/>
          <w:szCs w:val="20"/>
          <w:color w:val="auto"/>
        </w:rPr>
      </w:pPr>
    </w:p>
    <w:p>
      <w:pPr>
        <w:ind w:left="1280" w:right="300" w:hanging="7"/>
        <w:spacing w:after="0" w:line="311" w:lineRule="auto"/>
        <w:tabs>
          <w:tab w:leader="none" w:pos="2187"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565656"/>
        </w:rPr>
        <w:t>"T</w:t>
      </w:r>
      <w:r>
        <w:rPr>
          <w:rFonts w:ascii="Times New Roman" w:cs="Times New Roman" w:eastAsia="Times New Roman" w:hAnsi="Times New Roman"/>
          <w:sz w:val="20"/>
          <w:szCs w:val="20"/>
          <w:color w:val="3D3D3D"/>
        </w:rPr>
        <w:t>rade Secrets" means Confidential</w:t>
      </w:r>
      <w:r>
        <w:rPr>
          <w:rFonts w:ascii="Times New Roman" w:cs="Times New Roman" w:eastAsia="Times New Roman" w:hAnsi="Times New Roman"/>
          <w:sz w:val="20"/>
          <w:szCs w:val="20"/>
          <w:color w:val="565656"/>
        </w:rPr>
        <w:t xml:space="preserve"> I</w:t>
      </w:r>
      <w:r>
        <w:rPr>
          <w:rFonts w:ascii="Times New Roman" w:cs="Times New Roman" w:eastAsia="Times New Roman" w:hAnsi="Times New Roman"/>
          <w:sz w:val="20"/>
          <w:szCs w:val="20"/>
          <w:color w:val="3D3D3D"/>
        </w:rPr>
        <w:t>nformation which meets</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62626"/>
        </w:rPr>
        <w:t>the</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additional</w:t>
      </w:r>
      <w:r>
        <w:rPr>
          <w:rFonts w:ascii="Times New Roman" w:cs="Times New Roman" w:eastAsia="Times New Roman" w:hAnsi="Times New Roman"/>
          <w:sz w:val="20"/>
          <w:szCs w:val="20"/>
          <w:color w:val="565656"/>
        </w:rPr>
        <w:t xml:space="preserve"> r</w:t>
      </w:r>
      <w:r>
        <w:rPr>
          <w:rFonts w:ascii="Times New Roman" w:cs="Times New Roman" w:eastAsia="Times New Roman" w:hAnsi="Times New Roman"/>
          <w:sz w:val="20"/>
          <w:szCs w:val="20"/>
          <w:color w:val="3D3D3D"/>
        </w:rPr>
        <w:t>equ</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3D3D3D"/>
        </w:rPr>
        <w:t>re</w:t>
      </w:r>
      <w:r>
        <w:rPr>
          <w:rFonts w:ascii="Times New Roman" w:cs="Times New Roman" w:eastAsia="Times New Roman" w:hAnsi="Times New Roman"/>
          <w:sz w:val="20"/>
          <w:szCs w:val="20"/>
          <w:color w:val="565656"/>
        </w:rPr>
        <w:t>m</w:t>
      </w:r>
      <w:r>
        <w:rPr>
          <w:rFonts w:ascii="Times New Roman" w:cs="Times New Roman" w:eastAsia="Times New Roman" w:hAnsi="Times New Roman"/>
          <w:sz w:val="20"/>
          <w:szCs w:val="20"/>
          <w:color w:val="3D3D3D"/>
        </w:rPr>
        <w:t>ents of the G</w:t>
      </w:r>
      <w:r>
        <w:rPr>
          <w:rFonts w:ascii="Times New Roman" w:cs="Times New Roman" w:eastAsia="Times New Roman" w:hAnsi="Times New Roman"/>
          <w:sz w:val="20"/>
          <w:szCs w:val="20"/>
          <w:color w:val="565656"/>
        </w:rPr>
        <w:t>e</w:t>
      </w:r>
      <w:r>
        <w:rPr>
          <w:rFonts w:ascii="Times New Roman" w:cs="Times New Roman" w:eastAsia="Times New Roman" w:hAnsi="Times New Roman"/>
          <w:sz w:val="20"/>
          <w:szCs w:val="20"/>
          <w:color w:val="3D3D3D"/>
        </w:rPr>
        <w:t>orgia Trade</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Secrets Act.</w:t>
      </w:r>
    </w:p>
    <w:p>
      <w:pPr>
        <w:sectPr>
          <w:pgSz w:w="11900" w:h="16838" w:orient="portrait"/>
          <w:cols w:equalWidth="0" w:num="1">
            <w:col w:w="11260"/>
          </w:cols>
          <w:pgMar w:left="380" w:top="427" w:right="259" w:bottom="1440" w:gutter="0" w:footer="0" w:header="0"/>
        </w:sectPr>
      </w:pPr>
    </w:p>
    <w:bookmarkStart w:id="119" w:name="page120"/>
    <w:bookmarkEnd w:id="119"/>
    <w:p>
      <w:pPr>
        <w:ind w:left="1080" w:hanging="854"/>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4D4D4D"/>
        </w:rPr>
        <w:t>"Terri</w:t>
      </w:r>
      <w:r>
        <w:rPr>
          <w:rFonts w:ascii="Times New Roman" w:cs="Times New Roman" w:eastAsia="Times New Roman" w:hAnsi="Times New Roman"/>
          <w:sz w:val="20"/>
          <w:szCs w:val="20"/>
          <w:color w:val="282828"/>
        </w:rPr>
        <w:t>tory"</w:t>
      </w:r>
      <w:r>
        <w:rPr>
          <w:rFonts w:ascii="Times New Roman" w:cs="Times New Roman" w:eastAsia="Times New Roman" w:hAnsi="Times New Roman"/>
          <w:sz w:val="20"/>
          <w:szCs w:val="20"/>
          <w:color w:val="4D4D4D"/>
        </w:rPr>
        <w:t xml:space="preserve"> </w:t>
      </w:r>
      <w:r>
        <w:rPr>
          <w:rFonts w:ascii="Times New Roman" w:cs="Times New Roman" w:eastAsia="Times New Roman" w:hAnsi="Times New Roman"/>
          <w:sz w:val="20"/>
          <w:szCs w:val="20"/>
          <w:color w:val="3B3B3B"/>
        </w:rPr>
        <w:t>means those countries and areas as more particularly set forth on Exhibit A attached hereto.</w:t>
      </w:r>
    </w:p>
    <w:p>
      <w:pPr>
        <w:spacing w:after="0" w:line="270" w:lineRule="exact"/>
        <w:rPr>
          <w:sz w:val="20"/>
          <w:szCs w:val="20"/>
          <w:color w:val="auto"/>
        </w:rPr>
      </w:pPr>
    </w:p>
    <w:p>
      <w:pPr>
        <w:ind w:left="-1080" w:firstLine="1306"/>
        <w:spacing w:after="0" w:line="271" w:lineRule="auto"/>
        <w:tabs>
          <w:tab w:leader="none" w:pos="61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 xml:space="preserve">COVENANT OF CONFIDENTIALITY. </w:t>
      </w:r>
      <w:r>
        <w:rPr>
          <w:rFonts w:ascii="Times New Roman" w:cs="Times New Roman" w:eastAsia="Times New Roman" w:hAnsi="Times New Roman"/>
          <w:sz w:val="20"/>
          <w:szCs w:val="20"/>
          <w:color w:val="4D4D4D"/>
        </w:rPr>
        <w:t>During</w:t>
      </w:r>
      <w:r>
        <w:rPr>
          <w:rFonts w:ascii="Times New Roman" w:cs="Times New Roman" w:eastAsia="Times New Roman" w:hAnsi="Times New Roman"/>
          <w:sz w:val="20"/>
          <w:szCs w:val="20"/>
          <w:color w:val="3B3B3B"/>
        </w:rPr>
        <w:t xml:space="preserve"> the term of this Agreement,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Executive agrees only </w:t>
      </w:r>
      <w:r>
        <w:rPr>
          <w:rFonts w:ascii="Times New Roman" w:cs="Times New Roman" w:eastAsia="Times New Roman" w:hAnsi="Times New Roman"/>
          <w:sz w:val="20"/>
          <w:szCs w:val="20"/>
          <w:color w:val="4D4D4D"/>
        </w:rPr>
        <w:t>to</w:t>
      </w:r>
      <w:r>
        <w:rPr>
          <w:rFonts w:ascii="Times New Roman" w:cs="Times New Roman" w:eastAsia="Times New Roman" w:hAnsi="Times New Roman"/>
          <w:sz w:val="20"/>
          <w:szCs w:val="20"/>
          <w:color w:val="3B3B3B"/>
        </w:rPr>
        <w:t xml:space="preserve"> use and </w:t>
      </w:r>
      <w:r>
        <w:rPr>
          <w:rFonts w:ascii="Times New Roman" w:cs="Times New Roman" w:eastAsia="Times New Roman" w:hAnsi="Times New Roman"/>
          <w:sz w:val="20"/>
          <w:szCs w:val="20"/>
          <w:color w:val="282828"/>
        </w:rPr>
        <w:t xml:space="preserve">disclose </w:t>
      </w:r>
      <w:r>
        <w:rPr>
          <w:rFonts w:ascii="Times New Roman" w:cs="Times New Roman" w:eastAsia="Times New Roman" w:hAnsi="Times New Roman"/>
          <w:sz w:val="20"/>
          <w:szCs w:val="20"/>
          <w:color w:val="3B3B3B"/>
        </w:rPr>
        <w:t>Confidential Information in connection with his duties hereunder and to otherwise maintain</w:t>
      </w:r>
      <w:r>
        <w:rPr>
          <w:rFonts w:ascii="Times New Roman" w:cs="Times New Roman" w:eastAsia="Times New Roman" w:hAnsi="Times New Roman"/>
          <w:sz w:val="20"/>
          <w:szCs w:val="20"/>
          <w:color w:val="282828"/>
        </w:rPr>
        <w:t xml:space="preserve"> the </w:t>
      </w:r>
      <w:r>
        <w:rPr>
          <w:rFonts w:ascii="Times New Roman" w:cs="Times New Roman" w:eastAsia="Times New Roman" w:hAnsi="Times New Roman"/>
          <w:sz w:val="20"/>
          <w:szCs w:val="20"/>
          <w:color w:val="3B3B3B"/>
        </w:rPr>
        <w:t>secrecy of the same. The Executive</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B3B3B"/>
        </w:rPr>
        <w:t xml:space="preserve">agrees that for a period of five years </w:t>
      </w:r>
      <w:r>
        <w:rPr>
          <w:rFonts w:ascii="Times New Roman" w:cs="Times New Roman" w:eastAsia="Times New Roman" w:hAnsi="Times New Roman"/>
          <w:sz w:val="20"/>
          <w:szCs w:val="20"/>
          <w:color w:val="4D4D4D"/>
        </w:rPr>
        <w:t>following</w:t>
      </w:r>
      <w:r>
        <w:rPr>
          <w:rFonts w:ascii="Times New Roman" w:cs="Times New Roman" w:eastAsia="Times New Roman" w:hAnsi="Times New Roman"/>
          <w:sz w:val="20"/>
          <w:szCs w:val="20"/>
          <w:color w:val="3B3B3B"/>
        </w:rPr>
        <w:t xml:space="preserve"> the cessation </w:t>
      </w:r>
      <w:r>
        <w:rPr>
          <w:rFonts w:ascii="Times New Roman" w:cs="Times New Roman" w:eastAsia="Times New Roman" w:hAnsi="Times New Roman"/>
          <w:sz w:val="20"/>
          <w:szCs w:val="20"/>
          <w:color w:val="282828"/>
        </w:rPr>
        <w:t>of</w:t>
      </w:r>
      <w:r>
        <w:rPr>
          <w:rFonts w:ascii="Times New Roman" w:cs="Times New Roman" w:eastAsia="Times New Roman" w:hAnsi="Times New Roman"/>
          <w:sz w:val="20"/>
          <w:szCs w:val="20"/>
          <w:color w:val="3B3B3B"/>
        </w:rPr>
        <w:t xml:space="preserve"> his employment for any reason, </w:t>
      </w:r>
      <w:r>
        <w:rPr>
          <w:rFonts w:ascii="Times New Roman" w:cs="Times New Roman" w:eastAsia="Times New Roman" w:hAnsi="Times New Roman"/>
          <w:sz w:val="20"/>
          <w:szCs w:val="20"/>
          <w:color w:val="282828"/>
        </w:rPr>
        <w:t>he sha</w:t>
      </w:r>
      <w:r>
        <w:rPr>
          <w:rFonts w:ascii="Times New Roman" w:cs="Times New Roman" w:eastAsia="Times New Roman" w:hAnsi="Times New Roman"/>
          <w:sz w:val="20"/>
          <w:szCs w:val="20"/>
          <w:color w:val="4D4D4D"/>
        </w:rPr>
        <w:t>ll</w:t>
      </w:r>
      <w:r>
        <w:rPr>
          <w:rFonts w:ascii="Times New Roman" w:cs="Times New Roman" w:eastAsia="Times New Roman" w:hAnsi="Times New Roman"/>
          <w:sz w:val="20"/>
          <w:szCs w:val="20"/>
          <w:color w:val="3B3B3B"/>
        </w:rPr>
        <w:t xml:space="preserve"> not directly or </w:t>
      </w:r>
      <w:r>
        <w:rPr>
          <w:rFonts w:ascii="Times New Roman" w:cs="Times New Roman" w:eastAsia="Times New Roman" w:hAnsi="Times New Roman"/>
          <w:sz w:val="20"/>
          <w:szCs w:val="20"/>
          <w:color w:val="282828"/>
        </w:rPr>
        <w:t>i</w:t>
      </w:r>
      <w:r>
        <w:rPr>
          <w:rFonts w:ascii="Times New Roman" w:cs="Times New Roman" w:eastAsia="Times New Roman" w:hAnsi="Times New Roman"/>
          <w:sz w:val="20"/>
          <w:szCs w:val="20"/>
          <w:color w:val="4D4D4D"/>
        </w:rPr>
        <w:t>ndirectly</w:t>
      </w:r>
      <w:r>
        <w:rPr>
          <w:rFonts w:ascii="Times New Roman" w:cs="Times New Roman" w:eastAsia="Times New Roman" w:hAnsi="Times New Roman"/>
          <w:sz w:val="20"/>
          <w:szCs w:val="20"/>
          <w:color w:val="3B3B3B"/>
        </w:rPr>
        <w:t xml:space="preserve"> divulge or make use of any Confidential Information or Trade Secrets of the Company without prior written consent of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Company. The Executive further agrees that if he </w:t>
      </w:r>
      <w:r>
        <w:rPr>
          <w:rFonts w:ascii="Times New Roman" w:cs="Times New Roman" w:eastAsia="Times New Roman" w:hAnsi="Times New Roman"/>
          <w:sz w:val="20"/>
          <w:szCs w:val="20"/>
          <w:color w:val="282828"/>
        </w:rPr>
        <w:t>is</w:t>
      </w:r>
      <w:r>
        <w:rPr>
          <w:rFonts w:ascii="Times New Roman" w:cs="Times New Roman" w:eastAsia="Times New Roman" w:hAnsi="Times New Roman"/>
          <w:sz w:val="20"/>
          <w:szCs w:val="20"/>
          <w:color w:val="3B3B3B"/>
        </w:rPr>
        <w:t xml:space="preserve"> questioned </w:t>
      </w:r>
      <w:r>
        <w:rPr>
          <w:rFonts w:ascii="Times New Roman" w:cs="Times New Roman" w:eastAsia="Times New Roman" w:hAnsi="Times New Roman"/>
          <w:sz w:val="20"/>
          <w:szCs w:val="20"/>
          <w:color w:val="282828"/>
        </w:rPr>
        <w:t>about</w:t>
      </w:r>
      <w:r>
        <w:rPr>
          <w:rFonts w:ascii="Times New Roman" w:cs="Times New Roman" w:eastAsia="Times New Roman" w:hAnsi="Times New Roman"/>
          <w:sz w:val="20"/>
          <w:szCs w:val="20"/>
          <w:color w:val="3B3B3B"/>
        </w:rPr>
        <w:t xml:space="preserve"> information subject </w:t>
      </w:r>
      <w:r>
        <w:rPr>
          <w:rFonts w:ascii="Times New Roman" w:cs="Times New Roman" w:eastAsia="Times New Roman" w:hAnsi="Times New Roman"/>
          <w:sz w:val="20"/>
          <w:szCs w:val="20"/>
          <w:color w:val="282828"/>
        </w:rPr>
        <w:t>to this</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4D4D4D"/>
        </w:rPr>
        <w:t>Agree</w:t>
      </w:r>
      <w:r>
        <w:rPr>
          <w:rFonts w:ascii="Times New Roman" w:cs="Times New Roman" w:eastAsia="Times New Roman" w:hAnsi="Times New Roman"/>
          <w:sz w:val="20"/>
          <w:szCs w:val="20"/>
          <w:color w:val="282828"/>
        </w:rPr>
        <w:t>ment by</w:t>
      </w:r>
      <w:r>
        <w:rPr>
          <w:rFonts w:ascii="Times New Roman" w:cs="Times New Roman" w:eastAsia="Times New Roman" w:hAnsi="Times New Roman"/>
          <w:sz w:val="20"/>
          <w:szCs w:val="20"/>
          <w:color w:val="3B3B3B"/>
        </w:rPr>
        <w:t xml:space="preserve"> anyone not authorized to receive such information, </w:t>
      </w:r>
      <w:r>
        <w:rPr>
          <w:rFonts w:ascii="Times New Roman" w:cs="Times New Roman" w:eastAsia="Times New Roman" w:hAnsi="Times New Roman"/>
          <w:sz w:val="20"/>
          <w:szCs w:val="20"/>
          <w:color w:val="282828"/>
        </w:rPr>
        <w:t>he</w:t>
      </w:r>
      <w:r>
        <w:rPr>
          <w:rFonts w:ascii="Times New Roman" w:cs="Times New Roman" w:eastAsia="Times New Roman" w:hAnsi="Times New Roman"/>
          <w:sz w:val="20"/>
          <w:szCs w:val="20"/>
          <w:color w:val="3B3B3B"/>
        </w:rPr>
        <w:t xml:space="preserve"> will </w:t>
      </w:r>
      <w:r>
        <w:rPr>
          <w:rFonts w:ascii="Times New Roman" w:cs="Times New Roman" w:eastAsia="Times New Roman" w:hAnsi="Times New Roman"/>
          <w:sz w:val="20"/>
          <w:szCs w:val="20"/>
          <w:color w:val="282828"/>
        </w:rPr>
        <w:t>prompt</w:t>
      </w:r>
      <w:r>
        <w:rPr>
          <w:rFonts w:ascii="Times New Roman" w:cs="Times New Roman" w:eastAsia="Times New Roman" w:hAnsi="Times New Roman"/>
          <w:sz w:val="20"/>
          <w:szCs w:val="20"/>
          <w:color w:val="4D4D4D"/>
        </w:rPr>
        <w:t>ly</w:t>
      </w:r>
      <w:r>
        <w:rPr>
          <w:rFonts w:ascii="Times New Roman" w:cs="Times New Roman" w:eastAsia="Times New Roman" w:hAnsi="Times New Roman"/>
          <w:sz w:val="20"/>
          <w:szCs w:val="20"/>
          <w:color w:val="3B3B3B"/>
        </w:rPr>
        <w:t xml:space="preserve"> notify </w:t>
      </w:r>
      <w:r>
        <w:rPr>
          <w:rFonts w:ascii="Times New Roman" w:cs="Times New Roman" w:eastAsia="Times New Roman" w:hAnsi="Times New Roman"/>
          <w:sz w:val="20"/>
          <w:szCs w:val="20"/>
          <w:color w:val="282828"/>
        </w:rPr>
        <w:t>th</w:t>
      </w:r>
      <w:r>
        <w:rPr>
          <w:rFonts w:ascii="Times New Roman" w:cs="Times New Roman" w:eastAsia="Times New Roman" w:hAnsi="Times New Roman"/>
          <w:sz w:val="20"/>
          <w:szCs w:val="20"/>
          <w:color w:val="4D4D4D"/>
        </w:rPr>
        <w:t>e</w:t>
      </w:r>
      <w:r>
        <w:rPr>
          <w:rFonts w:ascii="Times New Roman" w:cs="Times New Roman" w:eastAsia="Times New Roman" w:hAnsi="Times New Roman"/>
          <w:sz w:val="20"/>
          <w:szCs w:val="20"/>
          <w:color w:val="3B3B3B"/>
        </w:rPr>
        <w:t xml:space="preserve"> Chairman of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Board. </w:t>
      </w:r>
      <w:r>
        <w:rPr>
          <w:rFonts w:ascii="Times New Roman" w:cs="Times New Roman" w:eastAsia="Times New Roman" w:hAnsi="Times New Roman"/>
          <w:sz w:val="20"/>
          <w:szCs w:val="20"/>
          <w:color w:val="282828"/>
        </w:rPr>
        <w:t>This</w:t>
      </w:r>
      <w:r>
        <w:rPr>
          <w:rFonts w:ascii="Times New Roman" w:cs="Times New Roman" w:eastAsia="Times New Roman" w:hAnsi="Times New Roman"/>
          <w:sz w:val="20"/>
          <w:szCs w:val="20"/>
          <w:color w:val="3B3B3B"/>
        </w:rPr>
        <w:t xml:space="preserve"> Agreement </w:t>
      </w:r>
      <w:r>
        <w:rPr>
          <w:rFonts w:ascii="Times New Roman" w:cs="Times New Roman" w:eastAsia="Times New Roman" w:hAnsi="Times New Roman"/>
          <w:sz w:val="20"/>
          <w:szCs w:val="20"/>
          <w:color w:val="282828"/>
        </w:rPr>
        <w:t>does</w:t>
      </w:r>
      <w:r>
        <w:rPr>
          <w:rFonts w:ascii="Times New Roman" w:cs="Times New Roman" w:eastAsia="Times New Roman" w:hAnsi="Times New Roman"/>
          <w:sz w:val="20"/>
          <w:szCs w:val="20"/>
          <w:color w:val="3B3B3B"/>
        </w:rPr>
        <w:t xml:space="preserve"> not </w:t>
      </w:r>
      <w:r>
        <w:rPr>
          <w:rFonts w:ascii="Times New Roman" w:cs="Times New Roman" w:eastAsia="Times New Roman" w:hAnsi="Times New Roman"/>
          <w:sz w:val="20"/>
          <w:szCs w:val="20"/>
          <w:color w:val="282828"/>
        </w:rPr>
        <w:t>l</w:t>
      </w:r>
      <w:r>
        <w:rPr>
          <w:rFonts w:ascii="Times New Roman" w:cs="Times New Roman" w:eastAsia="Times New Roman" w:hAnsi="Times New Roman"/>
          <w:sz w:val="20"/>
          <w:szCs w:val="20"/>
          <w:color w:val="4D4D4D"/>
        </w:rPr>
        <w:t>im</w:t>
      </w:r>
      <w:r>
        <w:rPr>
          <w:rFonts w:ascii="Times New Roman" w:cs="Times New Roman" w:eastAsia="Times New Roman" w:hAnsi="Times New Roman"/>
          <w:sz w:val="20"/>
          <w:szCs w:val="20"/>
          <w:color w:val="282828"/>
        </w:rPr>
        <w:t>it</w:t>
      </w:r>
      <w:r>
        <w:rPr>
          <w:rFonts w:ascii="Times New Roman" w:cs="Times New Roman" w:eastAsia="Times New Roman" w:hAnsi="Times New Roman"/>
          <w:sz w:val="20"/>
          <w:szCs w:val="20"/>
          <w:color w:val="3B3B3B"/>
        </w:rPr>
        <w:t xml:space="preserve"> the remedies available under common or statutory law, which may </w:t>
      </w:r>
      <w:r>
        <w:rPr>
          <w:rFonts w:ascii="Times New Roman" w:cs="Times New Roman" w:eastAsia="Times New Roman" w:hAnsi="Times New Roman"/>
          <w:sz w:val="20"/>
          <w:szCs w:val="20"/>
          <w:color w:val="282828"/>
        </w:rPr>
        <w:t>impose longer</w:t>
      </w:r>
      <w:r>
        <w:rPr>
          <w:rFonts w:ascii="Times New Roman" w:cs="Times New Roman" w:eastAsia="Times New Roman" w:hAnsi="Times New Roman"/>
          <w:sz w:val="20"/>
          <w:szCs w:val="20"/>
          <w:color w:val="3B3B3B"/>
        </w:rPr>
        <w:t xml:space="preserve"> duties of non-disclosure. </w:t>
      </w:r>
      <w:r>
        <w:rPr>
          <w:rFonts w:ascii="Times New Roman" w:cs="Times New Roman" w:eastAsia="Times New Roman" w:hAnsi="Times New Roman"/>
          <w:sz w:val="20"/>
          <w:szCs w:val="20"/>
          <w:color w:val="4D4D4D"/>
        </w:rPr>
        <w:t>T</w:t>
      </w:r>
      <w:r>
        <w:rPr>
          <w:rFonts w:ascii="Times New Roman" w:cs="Times New Roman" w:eastAsia="Times New Roman" w:hAnsi="Times New Roman"/>
          <w:sz w:val="20"/>
          <w:szCs w:val="20"/>
          <w:color w:val="282828"/>
        </w:rPr>
        <w:t>he</w:t>
      </w:r>
      <w:r>
        <w:rPr>
          <w:rFonts w:ascii="Times New Roman" w:cs="Times New Roman" w:eastAsia="Times New Roman" w:hAnsi="Times New Roman"/>
          <w:sz w:val="20"/>
          <w:szCs w:val="20"/>
          <w:color w:val="3B3B3B"/>
        </w:rPr>
        <w:t xml:space="preserve"> Executive will immediately </w:t>
      </w:r>
      <w:r>
        <w:rPr>
          <w:rFonts w:ascii="Times New Roman" w:cs="Times New Roman" w:eastAsia="Times New Roman" w:hAnsi="Times New Roman"/>
          <w:sz w:val="20"/>
          <w:szCs w:val="20"/>
          <w:color w:val="282828"/>
        </w:rPr>
        <w:t>notify</w:t>
      </w:r>
      <w:r>
        <w:rPr>
          <w:rFonts w:ascii="Times New Roman" w:cs="Times New Roman" w:eastAsia="Times New Roman" w:hAnsi="Times New Roman"/>
          <w:sz w:val="20"/>
          <w:szCs w:val="20"/>
          <w:color w:val="3B3B3B"/>
        </w:rPr>
        <w:t xml:space="preserve"> the Chairman of the Board if he </w:t>
      </w:r>
      <w:r>
        <w:rPr>
          <w:rFonts w:ascii="Times New Roman" w:cs="Times New Roman" w:eastAsia="Times New Roman" w:hAnsi="Times New Roman"/>
          <w:sz w:val="20"/>
          <w:szCs w:val="20"/>
          <w:color w:val="4D4D4D"/>
        </w:rPr>
        <w:t>receive</w:t>
      </w:r>
      <w:r>
        <w:rPr>
          <w:rFonts w:ascii="Times New Roman" w:cs="Times New Roman" w:eastAsia="Times New Roman" w:hAnsi="Times New Roman"/>
          <w:sz w:val="20"/>
          <w:szCs w:val="20"/>
          <w:color w:val="282828"/>
        </w:rPr>
        <w:t>s</w:t>
      </w:r>
      <w:r>
        <w:rPr>
          <w:rFonts w:ascii="Times New Roman" w:cs="Times New Roman" w:eastAsia="Times New Roman" w:hAnsi="Times New Roman"/>
          <w:sz w:val="20"/>
          <w:szCs w:val="20"/>
          <w:color w:val="3B3B3B"/>
        </w:rPr>
        <w:t xml:space="preserve"> any subpoenas which could require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disclosure of Confidential </w:t>
      </w:r>
      <w:r>
        <w:rPr>
          <w:rFonts w:ascii="Times New Roman" w:cs="Times New Roman" w:eastAsia="Times New Roman" w:hAnsi="Times New Roman"/>
          <w:sz w:val="20"/>
          <w:szCs w:val="20"/>
          <w:color w:val="4D4D4D"/>
        </w:rPr>
        <w:t>Informatio</w:t>
      </w:r>
      <w:r>
        <w:rPr>
          <w:rFonts w:ascii="Times New Roman" w:cs="Times New Roman" w:eastAsia="Times New Roman" w:hAnsi="Times New Roman"/>
          <w:sz w:val="20"/>
          <w:szCs w:val="20"/>
          <w:color w:val="282828"/>
        </w:rPr>
        <w:t>n,</w:t>
      </w:r>
      <w:r>
        <w:rPr>
          <w:rFonts w:ascii="Times New Roman" w:cs="Times New Roman" w:eastAsia="Times New Roman" w:hAnsi="Times New Roman"/>
          <w:sz w:val="20"/>
          <w:szCs w:val="20"/>
          <w:color w:val="3B3B3B"/>
        </w:rPr>
        <w:t xml:space="preserve"> so that </w:t>
      </w:r>
      <w:r>
        <w:rPr>
          <w:rFonts w:ascii="Times New Roman" w:cs="Times New Roman" w:eastAsia="Times New Roman" w:hAnsi="Times New Roman"/>
          <w:sz w:val="20"/>
          <w:szCs w:val="20"/>
          <w:color w:val="4D4D4D"/>
        </w:rPr>
        <w:t>the</w:t>
      </w:r>
      <w:r>
        <w:rPr>
          <w:rFonts w:ascii="Times New Roman" w:cs="Times New Roman" w:eastAsia="Times New Roman" w:hAnsi="Times New Roman"/>
          <w:sz w:val="20"/>
          <w:szCs w:val="20"/>
          <w:color w:val="3B3B3B"/>
        </w:rPr>
        <w:t xml:space="preserve"> Company may take whatever actions </w:t>
      </w:r>
      <w:r>
        <w:rPr>
          <w:rFonts w:ascii="Times New Roman" w:cs="Times New Roman" w:eastAsia="Times New Roman" w:hAnsi="Times New Roman"/>
          <w:sz w:val="20"/>
          <w:szCs w:val="20"/>
          <w:color w:val="282828"/>
        </w:rPr>
        <w:t>it</w:t>
      </w:r>
      <w:r>
        <w:rPr>
          <w:rFonts w:ascii="Times New Roman" w:cs="Times New Roman" w:eastAsia="Times New Roman" w:hAnsi="Times New Roman"/>
          <w:sz w:val="20"/>
          <w:szCs w:val="20"/>
          <w:color w:val="3B3B3B"/>
        </w:rPr>
        <w:t xml:space="preserve"> deems necessary to protect its interests.</w:t>
      </w:r>
    </w:p>
    <w:p>
      <w:pPr>
        <w:spacing w:after="0" w:line="201" w:lineRule="exact"/>
        <w:rPr>
          <w:rFonts w:ascii="Times New Roman" w:cs="Times New Roman" w:eastAsia="Times New Roman" w:hAnsi="Times New Roman"/>
          <w:sz w:val="20"/>
          <w:szCs w:val="20"/>
          <w:color w:val="auto"/>
        </w:rPr>
      </w:pPr>
    </w:p>
    <w:p>
      <w:pPr>
        <w:ind w:left="-1080" w:right="20" w:firstLine="1293"/>
        <w:spacing w:after="0" w:line="262" w:lineRule="auto"/>
        <w:tabs>
          <w:tab w:leader="none" w:pos="627"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COVENANT OF NON-COMPETITION</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3B3B3B"/>
        </w:rPr>
        <w:t xml:space="preserve"> The </w:t>
      </w:r>
      <w:r>
        <w:rPr>
          <w:rFonts w:ascii="Times New Roman" w:cs="Times New Roman" w:eastAsia="Times New Roman" w:hAnsi="Times New Roman"/>
          <w:sz w:val="20"/>
          <w:szCs w:val="20"/>
          <w:color w:val="4D4D4D"/>
        </w:rPr>
        <w:t>Executive</w:t>
      </w:r>
      <w:r>
        <w:rPr>
          <w:rFonts w:ascii="Times New Roman" w:cs="Times New Roman" w:eastAsia="Times New Roman" w:hAnsi="Times New Roman"/>
          <w:sz w:val="20"/>
          <w:szCs w:val="20"/>
          <w:color w:val="3B3B3B"/>
        </w:rPr>
        <w:t xml:space="preserve"> agrees </w:t>
      </w:r>
      <w:r>
        <w:rPr>
          <w:rFonts w:ascii="Times New Roman" w:cs="Times New Roman" w:eastAsia="Times New Roman" w:hAnsi="Times New Roman"/>
          <w:sz w:val="20"/>
          <w:szCs w:val="20"/>
          <w:color w:val="282828"/>
        </w:rPr>
        <w:t>that</w:t>
      </w:r>
      <w:r>
        <w:rPr>
          <w:rFonts w:ascii="Times New Roman" w:cs="Times New Roman" w:eastAsia="Times New Roman" w:hAnsi="Times New Roman"/>
          <w:sz w:val="20"/>
          <w:szCs w:val="20"/>
          <w:color w:val="3B3B3B"/>
        </w:rPr>
        <w:t xml:space="preserve"> while </w:t>
      </w:r>
      <w:r>
        <w:rPr>
          <w:rFonts w:ascii="Times New Roman" w:cs="Times New Roman" w:eastAsia="Times New Roman" w:hAnsi="Times New Roman"/>
          <w:sz w:val="20"/>
          <w:szCs w:val="20"/>
          <w:color w:val="282828"/>
        </w:rPr>
        <w:t>employed</w:t>
      </w:r>
      <w:r>
        <w:rPr>
          <w:rFonts w:ascii="Times New Roman" w:cs="Times New Roman" w:eastAsia="Times New Roman" w:hAnsi="Times New Roman"/>
          <w:sz w:val="20"/>
          <w:szCs w:val="20"/>
          <w:color w:val="3B3B3B"/>
        </w:rPr>
        <w:t xml:space="preserve"> by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Company and for a period of </w:t>
      </w:r>
      <w:r>
        <w:rPr>
          <w:rFonts w:ascii="Times New Roman" w:cs="Times New Roman" w:eastAsia="Times New Roman" w:hAnsi="Times New Roman"/>
          <w:sz w:val="20"/>
          <w:szCs w:val="20"/>
          <w:color w:val="282828"/>
        </w:rPr>
        <w:t>twenty-four</w:t>
      </w:r>
      <w:r>
        <w:rPr>
          <w:rFonts w:ascii="Times New Roman" w:cs="Times New Roman" w:eastAsia="Times New Roman" w:hAnsi="Times New Roman"/>
          <w:sz w:val="20"/>
          <w:szCs w:val="20"/>
          <w:color w:val="3B3B3B"/>
        </w:rPr>
        <w:t xml:space="preserve"> (24) months </w:t>
      </w:r>
      <w:r>
        <w:rPr>
          <w:rFonts w:ascii="Times New Roman" w:cs="Times New Roman" w:eastAsia="Times New Roman" w:hAnsi="Times New Roman"/>
          <w:sz w:val="20"/>
          <w:szCs w:val="20"/>
          <w:color w:val="282828"/>
        </w:rPr>
        <w:t>following</w:t>
      </w:r>
      <w:r>
        <w:rPr>
          <w:rFonts w:ascii="Times New Roman" w:cs="Times New Roman" w:eastAsia="Times New Roman" w:hAnsi="Times New Roman"/>
          <w:sz w:val="20"/>
          <w:szCs w:val="20"/>
          <w:color w:val="3B3B3B"/>
        </w:rPr>
        <w:t xml:space="preserve"> the cessation </w:t>
      </w:r>
      <w:r>
        <w:rPr>
          <w:rFonts w:ascii="Times New Roman" w:cs="Times New Roman" w:eastAsia="Times New Roman" w:hAnsi="Times New Roman"/>
          <w:sz w:val="20"/>
          <w:szCs w:val="20"/>
          <w:color w:val="282828"/>
        </w:rPr>
        <w:t>of</w:t>
      </w:r>
      <w:r>
        <w:rPr>
          <w:rFonts w:ascii="Times New Roman" w:cs="Times New Roman" w:eastAsia="Times New Roman" w:hAnsi="Times New Roman"/>
          <w:sz w:val="20"/>
          <w:szCs w:val="20"/>
          <w:color w:val="3B3B3B"/>
        </w:rPr>
        <w:t xml:space="preserve"> his employment for any reason, </w:t>
      </w:r>
      <w:r>
        <w:rPr>
          <w:rFonts w:ascii="Times New Roman" w:cs="Times New Roman" w:eastAsia="Times New Roman" w:hAnsi="Times New Roman"/>
          <w:sz w:val="20"/>
          <w:szCs w:val="20"/>
          <w:color w:val="282828"/>
        </w:rPr>
        <w:t>he</w:t>
      </w:r>
      <w:r>
        <w:rPr>
          <w:rFonts w:ascii="Times New Roman" w:cs="Times New Roman" w:eastAsia="Times New Roman" w:hAnsi="Times New Roman"/>
          <w:sz w:val="20"/>
          <w:szCs w:val="20"/>
          <w:color w:val="3B3B3B"/>
        </w:rPr>
        <w:t xml:space="preserve"> will not compete with the Business of Company by </w:t>
      </w:r>
      <w:r>
        <w:rPr>
          <w:rFonts w:ascii="Times New Roman" w:cs="Times New Roman" w:eastAsia="Times New Roman" w:hAnsi="Times New Roman"/>
          <w:sz w:val="20"/>
          <w:szCs w:val="20"/>
          <w:color w:val="282828"/>
        </w:rPr>
        <w:t>performing ser</w:t>
      </w:r>
      <w:r>
        <w:rPr>
          <w:rFonts w:ascii="Times New Roman" w:cs="Times New Roman" w:eastAsia="Times New Roman" w:hAnsi="Times New Roman"/>
          <w:sz w:val="20"/>
          <w:szCs w:val="20"/>
          <w:color w:val="4D4D4D"/>
        </w:rPr>
        <w:t>v</w:t>
      </w:r>
      <w:r>
        <w:rPr>
          <w:rFonts w:ascii="Times New Roman" w:cs="Times New Roman" w:eastAsia="Times New Roman" w:hAnsi="Times New Roman"/>
          <w:sz w:val="20"/>
          <w:szCs w:val="20"/>
          <w:color w:val="282828"/>
        </w:rPr>
        <w:t xml:space="preserve">ices </w:t>
      </w:r>
      <w:r>
        <w:rPr>
          <w:rFonts w:ascii="Times New Roman" w:cs="Times New Roman" w:eastAsia="Times New Roman" w:hAnsi="Times New Roman"/>
          <w:sz w:val="20"/>
          <w:szCs w:val="20"/>
          <w:color w:val="3B3B3B"/>
        </w:rPr>
        <w:t>of the</w:t>
      </w:r>
      <w:r>
        <w:rPr>
          <w:rFonts w:ascii="Times New Roman" w:cs="Times New Roman" w:eastAsia="Times New Roman" w:hAnsi="Times New Roman"/>
          <w:sz w:val="20"/>
          <w:szCs w:val="20"/>
          <w:color w:val="282828"/>
        </w:rPr>
        <w:t xml:space="preserve"> same </w:t>
      </w:r>
      <w:r>
        <w:rPr>
          <w:rFonts w:ascii="Times New Roman" w:cs="Times New Roman" w:eastAsia="Times New Roman" w:hAnsi="Times New Roman"/>
          <w:sz w:val="20"/>
          <w:szCs w:val="20"/>
          <w:color w:val="3B3B3B"/>
        </w:rPr>
        <w:t>or</w:t>
      </w:r>
      <w:r>
        <w:rPr>
          <w:rFonts w:ascii="Times New Roman" w:cs="Times New Roman" w:eastAsia="Times New Roman" w:hAnsi="Times New Roman"/>
          <w:sz w:val="20"/>
          <w:szCs w:val="20"/>
          <w:color w:val="282828"/>
        </w:rPr>
        <w:t xml:space="preserve"> similar </w:t>
      </w:r>
      <w:r>
        <w:rPr>
          <w:rFonts w:ascii="Times New Roman" w:cs="Times New Roman" w:eastAsia="Times New Roman" w:hAnsi="Times New Roman"/>
          <w:sz w:val="20"/>
          <w:szCs w:val="20"/>
          <w:color w:val="3B3B3B"/>
        </w:rPr>
        <w:t>type as those he performed</w:t>
      </w:r>
      <w:r>
        <w:rPr>
          <w:rFonts w:ascii="Times New Roman" w:cs="Times New Roman" w:eastAsia="Times New Roman" w:hAnsi="Times New Roman"/>
          <w:sz w:val="20"/>
          <w:szCs w:val="20"/>
          <w:color w:val="282828"/>
        </w:rPr>
        <w:t xml:space="preserve"> for the </w:t>
      </w:r>
      <w:r>
        <w:rPr>
          <w:rFonts w:ascii="Times New Roman" w:cs="Times New Roman" w:eastAsia="Times New Roman" w:hAnsi="Times New Roman"/>
          <w:sz w:val="20"/>
          <w:szCs w:val="20"/>
          <w:color w:val="3B3B3B"/>
        </w:rPr>
        <w:t>Company as an employee, contractor, consultant, officer,</w:t>
      </w:r>
      <w:r>
        <w:rPr>
          <w:rFonts w:ascii="Times New Roman" w:cs="Times New Roman" w:eastAsia="Times New Roman" w:hAnsi="Times New Roman"/>
          <w:sz w:val="20"/>
          <w:szCs w:val="20"/>
          <w:color w:val="282828"/>
        </w:rPr>
        <w:t xml:space="preserve"> di</w:t>
      </w:r>
      <w:r>
        <w:rPr>
          <w:rFonts w:ascii="Times New Roman" w:cs="Times New Roman" w:eastAsia="Times New Roman" w:hAnsi="Times New Roman"/>
          <w:sz w:val="20"/>
          <w:szCs w:val="20"/>
          <w:color w:val="4D4D4D"/>
        </w:rPr>
        <w:t>rec</w:t>
      </w:r>
      <w:r>
        <w:rPr>
          <w:rFonts w:ascii="Times New Roman" w:cs="Times New Roman" w:eastAsia="Times New Roman" w:hAnsi="Times New Roman"/>
          <w:sz w:val="20"/>
          <w:szCs w:val="20"/>
          <w:color w:val="282828"/>
        </w:rPr>
        <w:t xml:space="preserve">tor </w:t>
      </w:r>
      <w:r>
        <w:rPr>
          <w:rFonts w:ascii="Times New Roman" w:cs="Times New Roman" w:eastAsia="Times New Roman" w:hAnsi="Times New Roman"/>
          <w:sz w:val="20"/>
          <w:szCs w:val="20"/>
          <w:color w:val="3B3B3B"/>
        </w:rPr>
        <w:t>or agent for any person or entity engaged in</w:t>
      </w:r>
      <w:r>
        <w:rPr>
          <w:rFonts w:ascii="Times New Roman" w:cs="Times New Roman" w:eastAsia="Times New Roman" w:hAnsi="Times New Roman"/>
          <w:sz w:val="20"/>
          <w:szCs w:val="20"/>
          <w:color w:val="282828"/>
        </w:rPr>
        <w:t xml:space="preserve"> the </w:t>
      </w:r>
      <w:r>
        <w:rPr>
          <w:rFonts w:ascii="Times New Roman" w:cs="Times New Roman" w:eastAsia="Times New Roman" w:hAnsi="Times New Roman"/>
          <w:sz w:val="20"/>
          <w:szCs w:val="20"/>
          <w:color w:val="3B3B3B"/>
        </w:rPr>
        <w:t>Business of Company. Likewise,</w:t>
      </w:r>
      <w:r>
        <w:rPr>
          <w:rFonts w:ascii="Times New Roman" w:cs="Times New Roman" w:eastAsia="Times New Roman" w:hAnsi="Times New Roman"/>
          <w:sz w:val="20"/>
          <w:szCs w:val="20"/>
          <w:color w:val="282828"/>
        </w:rPr>
        <w:t xml:space="preserve"> the </w:t>
      </w:r>
      <w:r>
        <w:rPr>
          <w:rFonts w:ascii="Times New Roman" w:cs="Times New Roman" w:eastAsia="Times New Roman" w:hAnsi="Times New Roman"/>
          <w:sz w:val="20"/>
          <w:szCs w:val="20"/>
          <w:color w:val="3B3B3B"/>
        </w:rPr>
        <w:t>Executive will not</w:t>
      </w:r>
      <w:r>
        <w:rPr>
          <w:rFonts w:ascii="Times New Roman" w:cs="Times New Roman" w:eastAsia="Times New Roman" w:hAnsi="Times New Roman"/>
          <w:sz w:val="20"/>
          <w:szCs w:val="20"/>
          <w:color w:val="282828"/>
        </w:rPr>
        <w:t xml:space="preserve"> perform </w:t>
      </w:r>
      <w:r>
        <w:rPr>
          <w:rFonts w:ascii="Times New Roman" w:cs="Times New Roman" w:eastAsia="Times New Roman" w:hAnsi="Times New Roman"/>
          <w:sz w:val="20"/>
          <w:szCs w:val="20"/>
          <w:color w:val="3B3B3B"/>
        </w:rPr>
        <w:t>activities of the type</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4D4D4D"/>
        </w:rPr>
        <w:t xml:space="preserve">which </w:t>
      </w:r>
      <w:r>
        <w:rPr>
          <w:rFonts w:ascii="Times New Roman" w:cs="Times New Roman" w:eastAsia="Times New Roman" w:hAnsi="Times New Roman"/>
          <w:sz w:val="20"/>
          <w:szCs w:val="20"/>
          <w:color w:val="3B3B3B"/>
        </w:rPr>
        <w:t>in the ordinary course of business would</w:t>
      </w:r>
      <w:r>
        <w:rPr>
          <w:rFonts w:ascii="Times New Roman" w:cs="Times New Roman" w:eastAsia="Times New Roman" w:hAnsi="Times New Roman"/>
          <w:sz w:val="20"/>
          <w:szCs w:val="20"/>
          <w:color w:val="4D4D4D"/>
        </w:rPr>
        <w:t xml:space="preserve"> i</w:t>
      </w:r>
      <w:r>
        <w:rPr>
          <w:rFonts w:ascii="Times New Roman" w:cs="Times New Roman" w:eastAsia="Times New Roman" w:hAnsi="Times New Roman"/>
          <w:sz w:val="20"/>
          <w:szCs w:val="20"/>
          <w:color w:val="282828"/>
        </w:rPr>
        <w:t>nvo</w:t>
      </w:r>
      <w:r>
        <w:rPr>
          <w:rFonts w:ascii="Times New Roman" w:cs="Times New Roman" w:eastAsia="Times New Roman" w:hAnsi="Times New Roman"/>
          <w:sz w:val="20"/>
          <w:szCs w:val="20"/>
          <w:color w:val="4D4D4D"/>
        </w:rPr>
        <w:t xml:space="preserve">lve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4D4D4D"/>
        </w:rPr>
        <w:t xml:space="preserve"> </w:t>
      </w:r>
      <w:r>
        <w:rPr>
          <w:rFonts w:ascii="Times New Roman" w:cs="Times New Roman" w:eastAsia="Times New Roman" w:hAnsi="Times New Roman"/>
          <w:sz w:val="20"/>
          <w:szCs w:val="20"/>
          <w:color w:val="3B3B3B"/>
        </w:rPr>
        <w:t>utilization of Confidential Information or</w:t>
      </w:r>
      <w:r>
        <w:rPr>
          <w:rFonts w:ascii="Times New Roman" w:cs="Times New Roman" w:eastAsia="Times New Roman" w:hAnsi="Times New Roman"/>
          <w:sz w:val="20"/>
          <w:szCs w:val="20"/>
          <w:color w:val="4D4D4D"/>
        </w:rPr>
        <w:t xml:space="preserve"> Trad</w:t>
      </w:r>
      <w:r>
        <w:rPr>
          <w:rFonts w:ascii="Times New Roman" w:cs="Times New Roman" w:eastAsia="Times New Roman" w:hAnsi="Times New Roman"/>
          <w:sz w:val="20"/>
          <w:szCs w:val="20"/>
          <w:color w:val="282828"/>
        </w:rPr>
        <w:t>e</w:t>
      </w:r>
      <w:r>
        <w:rPr>
          <w:rFonts w:ascii="Times New Roman" w:cs="Times New Roman" w:eastAsia="Times New Roman" w:hAnsi="Times New Roman"/>
          <w:sz w:val="20"/>
          <w:szCs w:val="20"/>
          <w:color w:val="4D4D4D"/>
        </w:rPr>
        <w:t xml:space="preserve"> </w:t>
      </w:r>
      <w:r>
        <w:rPr>
          <w:rFonts w:ascii="Times New Roman" w:cs="Times New Roman" w:eastAsia="Times New Roman" w:hAnsi="Times New Roman"/>
          <w:sz w:val="20"/>
          <w:szCs w:val="20"/>
          <w:color w:val="3B3B3B"/>
        </w:rPr>
        <w:t>Secrets protected from disclosure</w:t>
      </w:r>
      <w:r>
        <w:rPr>
          <w:rFonts w:ascii="Times New Roman" w:cs="Times New Roman" w:eastAsia="Times New Roman" w:hAnsi="Times New Roman"/>
          <w:sz w:val="20"/>
          <w:szCs w:val="20"/>
          <w:color w:val="4D4D4D"/>
        </w:rPr>
        <w:t xml:space="preserve"> </w:t>
      </w:r>
      <w:r>
        <w:rPr>
          <w:rFonts w:ascii="Times New Roman" w:cs="Times New Roman" w:eastAsia="Times New Roman" w:hAnsi="Times New Roman"/>
          <w:sz w:val="20"/>
          <w:szCs w:val="20"/>
          <w:color w:val="3B3B3B"/>
        </w:rPr>
        <w:t xml:space="preserve">by Section </w:t>
      </w:r>
      <w:r>
        <w:rPr>
          <w:rFonts w:ascii="Times New Roman" w:cs="Times New Roman" w:eastAsia="Times New Roman" w:hAnsi="Times New Roman"/>
          <w:sz w:val="20"/>
          <w:szCs w:val="20"/>
          <w:color w:val="282828"/>
        </w:rPr>
        <w:t>4</w:t>
      </w:r>
      <w:r>
        <w:rPr>
          <w:rFonts w:ascii="Times New Roman" w:cs="Times New Roman" w:eastAsia="Times New Roman" w:hAnsi="Times New Roman"/>
          <w:sz w:val="20"/>
          <w:szCs w:val="20"/>
          <w:color w:val="3B3B3B"/>
        </w:rPr>
        <w:t xml:space="preserve"> (c) of this Agreement. This paragraph restricts competition only within the Territory.</w:t>
      </w:r>
    </w:p>
    <w:p>
      <w:pPr>
        <w:spacing w:after="0" w:line="195" w:lineRule="exact"/>
        <w:rPr>
          <w:rFonts w:ascii="Times New Roman" w:cs="Times New Roman" w:eastAsia="Times New Roman" w:hAnsi="Times New Roman"/>
          <w:sz w:val="20"/>
          <w:szCs w:val="20"/>
          <w:color w:val="auto"/>
        </w:rPr>
      </w:pPr>
    </w:p>
    <w:p>
      <w:pPr>
        <w:ind w:left="-1080" w:right="40" w:firstLine="1306"/>
        <w:spacing w:after="0" w:line="260" w:lineRule="auto"/>
        <w:tabs>
          <w:tab w:leader="none" w:pos="63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 xml:space="preserve">COVENANT </w:t>
      </w:r>
      <w:r>
        <w:rPr>
          <w:rFonts w:ascii="Times New Roman" w:cs="Times New Roman" w:eastAsia="Times New Roman" w:hAnsi="Times New Roman"/>
          <w:sz w:val="20"/>
          <w:szCs w:val="20"/>
          <w:color w:val="4D4D4D"/>
        </w:rPr>
        <w:t>OF</w:t>
      </w:r>
      <w:r>
        <w:rPr>
          <w:rFonts w:ascii="Times New Roman" w:cs="Times New Roman" w:eastAsia="Times New Roman" w:hAnsi="Times New Roman"/>
          <w:sz w:val="20"/>
          <w:szCs w:val="20"/>
          <w:color w:val="3B3B3B"/>
        </w:rPr>
        <w:t xml:space="preserve"> NON-SOLICITATION. </w:t>
      </w:r>
      <w:r>
        <w:rPr>
          <w:rFonts w:ascii="Times New Roman" w:cs="Times New Roman" w:eastAsia="Times New Roman" w:hAnsi="Times New Roman"/>
          <w:sz w:val="20"/>
          <w:szCs w:val="20"/>
          <w:color w:val="4D4D4D"/>
        </w:rPr>
        <w:t>The Executive</w:t>
      </w:r>
      <w:r>
        <w:rPr>
          <w:rFonts w:ascii="Times New Roman" w:cs="Times New Roman" w:eastAsia="Times New Roman" w:hAnsi="Times New Roman"/>
          <w:sz w:val="20"/>
          <w:szCs w:val="20"/>
          <w:color w:val="3B3B3B"/>
        </w:rPr>
        <w:t xml:space="preserve"> agrees that while employed by </w:t>
      </w:r>
      <w:r>
        <w:rPr>
          <w:rFonts w:ascii="Times New Roman" w:cs="Times New Roman" w:eastAsia="Times New Roman" w:hAnsi="Times New Roman"/>
          <w:sz w:val="20"/>
          <w:szCs w:val="20"/>
          <w:color w:val="4D4D4D"/>
        </w:rPr>
        <w:t>the</w:t>
      </w:r>
      <w:r>
        <w:rPr>
          <w:rFonts w:ascii="Times New Roman" w:cs="Times New Roman" w:eastAsia="Times New Roman" w:hAnsi="Times New Roman"/>
          <w:sz w:val="20"/>
          <w:szCs w:val="20"/>
          <w:color w:val="3B3B3B"/>
        </w:rPr>
        <w:t xml:space="preserve"> Company and for a period of twenty-four (24) months following the </w:t>
      </w:r>
      <w:r>
        <w:rPr>
          <w:rFonts w:ascii="Times New Roman" w:cs="Times New Roman" w:eastAsia="Times New Roman" w:hAnsi="Times New Roman"/>
          <w:sz w:val="20"/>
          <w:szCs w:val="20"/>
          <w:color w:val="4D4D4D"/>
        </w:rPr>
        <w:t>cessation</w:t>
      </w:r>
      <w:r>
        <w:rPr>
          <w:rFonts w:ascii="Times New Roman" w:cs="Times New Roman" w:eastAsia="Times New Roman" w:hAnsi="Times New Roman"/>
          <w:sz w:val="20"/>
          <w:szCs w:val="20"/>
          <w:color w:val="3B3B3B"/>
        </w:rPr>
        <w:t xml:space="preserve"> of his employment for any reason</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3B3B3B"/>
        </w:rPr>
        <w:t xml:space="preserve"> he will not directly or </w:t>
      </w:r>
      <w:r>
        <w:rPr>
          <w:rFonts w:ascii="Times New Roman" w:cs="Times New Roman" w:eastAsia="Times New Roman" w:hAnsi="Times New Roman"/>
          <w:sz w:val="20"/>
          <w:szCs w:val="20"/>
          <w:color w:val="282828"/>
        </w:rPr>
        <w:t>indirectly</w:t>
      </w:r>
      <w:r>
        <w:rPr>
          <w:rFonts w:ascii="Times New Roman" w:cs="Times New Roman" w:eastAsia="Times New Roman" w:hAnsi="Times New Roman"/>
          <w:sz w:val="20"/>
          <w:szCs w:val="20"/>
          <w:color w:val="3B3B3B"/>
        </w:rPr>
        <w:t xml:space="preserve"> solicit or </w:t>
      </w:r>
      <w:r>
        <w:rPr>
          <w:rFonts w:ascii="Times New Roman" w:cs="Times New Roman" w:eastAsia="Times New Roman" w:hAnsi="Times New Roman"/>
          <w:sz w:val="20"/>
          <w:szCs w:val="20"/>
          <w:color w:val="4D4D4D"/>
        </w:rPr>
        <w:t>attempt</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3B3B3B"/>
        </w:rPr>
        <w:t xml:space="preserve"> solicit any business in competition with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Business of Company from any of </w:t>
      </w:r>
      <w:r>
        <w:rPr>
          <w:rFonts w:ascii="Times New Roman" w:cs="Times New Roman" w:eastAsia="Times New Roman" w:hAnsi="Times New Roman"/>
          <w:sz w:val="20"/>
          <w:szCs w:val="20"/>
          <w:color w:val="4D4D4D"/>
        </w:rPr>
        <w:t>the Customers</w:t>
      </w:r>
      <w:r>
        <w:rPr>
          <w:rFonts w:ascii="Times New Roman" w:cs="Times New Roman" w:eastAsia="Times New Roman" w:hAnsi="Times New Roman"/>
          <w:sz w:val="20"/>
          <w:szCs w:val="20"/>
          <w:color w:val="3B3B3B"/>
        </w:rPr>
        <w:t xml:space="preserve"> with whom the </w:t>
      </w:r>
      <w:r>
        <w:rPr>
          <w:rFonts w:ascii="Times New Roman" w:cs="Times New Roman" w:eastAsia="Times New Roman" w:hAnsi="Times New Roman"/>
          <w:sz w:val="20"/>
          <w:szCs w:val="20"/>
          <w:color w:val="4D4D4D"/>
        </w:rPr>
        <w:t>Executive</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282828"/>
        </w:rPr>
        <w:t>had</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4D4D4D"/>
        </w:rPr>
        <w:t>Ma</w:t>
      </w:r>
      <w:r>
        <w:rPr>
          <w:rFonts w:ascii="Times New Roman" w:cs="Times New Roman" w:eastAsia="Times New Roman" w:hAnsi="Times New Roman"/>
          <w:sz w:val="20"/>
          <w:szCs w:val="20"/>
          <w:color w:val="282828"/>
        </w:rPr>
        <w:t>ter</w:t>
      </w:r>
      <w:r>
        <w:rPr>
          <w:rFonts w:ascii="Times New Roman" w:cs="Times New Roman" w:eastAsia="Times New Roman" w:hAnsi="Times New Roman"/>
          <w:sz w:val="20"/>
          <w:szCs w:val="20"/>
          <w:color w:val="4D4D4D"/>
        </w:rPr>
        <w:t>ial</w:t>
      </w:r>
      <w:r>
        <w:rPr>
          <w:rFonts w:ascii="Times New Roman" w:cs="Times New Roman" w:eastAsia="Times New Roman" w:hAnsi="Times New Roman"/>
          <w:sz w:val="20"/>
          <w:szCs w:val="20"/>
          <w:color w:val="3B3B3B"/>
        </w:rPr>
        <w:t xml:space="preserve"> Contact within </w:t>
      </w:r>
      <w:r>
        <w:rPr>
          <w:rFonts w:ascii="Times New Roman" w:cs="Times New Roman" w:eastAsia="Times New Roman" w:hAnsi="Times New Roman"/>
          <w:sz w:val="20"/>
          <w:szCs w:val="20"/>
          <w:color w:val="4D4D4D"/>
        </w:rPr>
        <w:t>the</w:t>
      </w:r>
      <w:r>
        <w:rPr>
          <w:rFonts w:ascii="Times New Roman" w:cs="Times New Roman" w:eastAsia="Times New Roman" w:hAnsi="Times New Roman"/>
          <w:sz w:val="20"/>
          <w:szCs w:val="20"/>
          <w:color w:val="3B3B3B"/>
        </w:rPr>
        <w:t xml:space="preserve"> last </w:t>
      </w:r>
      <w:r>
        <w:rPr>
          <w:rFonts w:ascii="Times New Roman" w:cs="Times New Roman" w:eastAsia="Times New Roman" w:hAnsi="Times New Roman"/>
          <w:sz w:val="20"/>
          <w:szCs w:val="20"/>
          <w:color w:val="282828"/>
        </w:rPr>
        <w:t>18 months</w:t>
      </w:r>
      <w:r>
        <w:rPr>
          <w:rFonts w:ascii="Times New Roman" w:cs="Times New Roman" w:eastAsia="Times New Roman" w:hAnsi="Times New Roman"/>
          <w:sz w:val="20"/>
          <w:szCs w:val="20"/>
          <w:color w:val="3B3B3B"/>
        </w:rPr>
        <w:t xml:space="preserve"> of his employment with </w:t>
      </w:r>
      <w:r>
        <w:rPr>
          <w:rFonts w:ascii="Times New Roman" w:cs="Times New Roman" w:eastAsia="Times New Roman" w:hAnsi="Times New Roman"/>
          <w:sz w:val="20"/>
          <w:szCs w:val="20"/>
          <w:color w:val="4D4D4D"/>
        </w:rPr>
        <w:t>the Company</w:t>
      </w:r>
      <w:r>
        <w:rPr>
          <w:rFonts w:ascii="Times New Roman" w:cs="Times New Roman" w:eastAsia="Times New Roman" w:hAnsi="Times New Roman"/>
          <w:sz w:val="20"/>
          <w:szCs w:val="20"/>
          <w:color w:val="727272"/>
        </w:rPr>
        <w:t>.</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4D4D4D"/>
        </w:rPr>
        <w:t>The Execut</w:t>
      </w:r>
      <w:r>
        <w:rPr>
          <w:rFonts w:ascii="Times New Roman" w:cs="Times New Roman" w:eastAsia="Times New Roman" w:hAnsi="Times New Roman"/>
          <w:sz w:val="20"/>
          <w:szCs w:val="20"/>
          <w:color w:val="282828"/>
        </w:rPr>
        <w:t>ive</w:t>
      </w:r>
      <w:r>
        <w:rPr>
          <w:rFonts w:ascii="Times New Roman" w:cs="Times New Roman" w:eastAsia="Times New Roman" w:hAnsi="Times New Roman"/>
          <w:sz w:val="20"/>
          <w:szCs w:val="20"/>
          <w:color w:val="3B3B3B"/>
        </w:rPr>
        <w:t xml:space="preserve"> further agrees that for a period of twenty-four (24) months following the cessation of his employment, he will not directly or </w:t>
      </w:r>
      <w:r>
        <w:rPr>
          <w:rFonts w:ascii="Times New Roman" w:cs="Times New Roman" w:eastAsia="Times New Roman" w:hAnsi="Times New Roman"/>
          <w:sz w:val="20"/>
          <w:szCs w:val="20"/>
          <w:color w:val="282828"/>
        </w:rPr>
        <w:t>indi</w:t>
      </w:r>
      <w:r>
        <w:rPr>
          <w:rFonts w:ascii="Times New Roman" w:cs="Times New Roman" w:eastAsia="Times New Roman" w:hAnsi="Times New Roman"/>
          <w:sz w:val="20"/>
          <w:szCs w:val="20"/>
          <w:color w:val="4D4D4D"/>
        </w:rPr>
        <w:t>rectly</w:t>
      </w:r>
      <w:r>
        <w:rPr>
          <w:rFonts w:ascii="Times New Roman" w:cs="Times New Roman" w:eastAsia="Times New Roman" w:hAnsi="Times New Roman"/>
          <w:sz w:val="20"/>
          <w:szCs w:val="20"/>
          <w:color w:val="3B3B3B"/>
        </w:rPr>
        <w:t xml:space="preserve"> solicit or </w:t>
      </w:r>
      <w:r>
        <w:rPr>
          <w:rFonts w:ascii="Times New Roman" w:cs="Times New Roman" w:eastAsia="Times New Roman" w:hAnsi="Times New Roman"/>
          <w:sz w:val="20"/>
          <w:szCs w:val="20"/>
          <w:color w:val="4D4D4D"/>
        </w:rPr>
        <w:t>attemp</w:t>
      </w:r>
      <w:r>
        <w:rPr>
          <w:rFonts w:ascii="Times New Roman" w:cs="Times New Roman" w:eastAsia="Times New Roman" w:hAnsi="Times New Roman"/>
          <w:sz w:val="20"/>
          <w:szCs w:val="20"/>
          <w:color w:val="282828"/>
        </w:rPr>
        <w:t>t to</w:t>
      </w:r>
      <w:r>
        <w:rPr>
          <w:rFonts w:ascii="Times New Roman" w:cs="Times New Roman" w:eastAsia="Times New Roman" w:hAnsi="Times New Roman"/>
          <w:sz w:val="20"/>
          <w:szCs w:val="20"/>
          <w:color w:val="3B3B3B"/>
        </w:rPr>
        <w:t xml:space="preserve"> solicit any </w:t>
      </w:r>
      <w:r>
        <w:rPr>
          <w:rFonts w:ascii="Times New Roman" w:cs="Times New Roman" w:eastAsia="Times New Roman" w:hAnsi="Times New Roman"/>
          <w:sz w:val="20"/>
          <w:szCs w:val="20"/>
          <w:color w:val="4D4D4D"/>
        </w:rPr>
        <w:t>Vendors</w:t>
      </w:r>
      <w:r>
        <w:rPr>
          <w:rFonts w:ascii="Times New Roman" w:cs="Times New Roman" w:eastAsia="Times New Roman" w:hAnsi="Times New Roman"/>
          <w:sz w:val="20"/>
          <w:szCs w:val="20"/>
          <w:color w:val="3B3B3B"/>
        </w:rPr>
        <w:t xml:space="preserve"> of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Company </w:t>
      </w:r>
      <w:r>
        <w:rPr>
          <w:rFonts w:ascii="Times New Roman" w:cs="Times New Roman" w:eastAsia="Times New Roman" w:hAnsi="Times New Roman"/>
          <w:sz w:val="20"/>
          <w:szCs w:val="20"/>
          <w:color w:val="4D4D4D"/>
        </w:rPr>
        <w:t>with</w:t>
      </w:r>
      <w:r>
        <w:rPr>
          <w:rFonts w:ascii="Times New Roman" w:cs="Times New Roman" w:eastAsia="Times New Roman" w:hAnsi="Times New Roman"/>
          <w:sz w:val="20"/>
          <w:szCs w:val="20"/>
          <w:color w:val="3B3B3B"/>
        </w:rPr>
        <w:t xml:space="preserve"> whom </w:t>
      </w:r>
      <w:r>
        <w:rPr>
          <w:rFonts w:ascii="Times New Roman" w:cs="Times New Roman" w:eastAsia="Times New Roman" w:hAnsi="Times New Roman"/>
          <w:sz w:val="20"/>
          <w:szCs w:val="20"/>
          <w:color w:val="282828"/>
        </w:rPr>
        <w:t>he</w:t>
      </w:r>
      <w:r>
        <w:rPr>
          <w:rFonts w:ascii="Times New Roman" w:cs="Times New Roman" w:eastAsia="Times New Roman" w:hAnsi="Times New Roman"/>
          <w:sz w:val="20"/>
          <w:szCs w:val="20"/>
          <w:color w:val="3B3B3B"/>
        </w:rPr>
        <w:t xml:space="preserve"> had </w:t>
      </w:r>
      <w:r>
        <w:rPr>
          <w:rFonts w:ascii="Times New Roman" w:cs="Times New Roman" w:eastAsia="Times New Roman" w:hAnsi="Times New Roman"/>
          <w:sz w:val="20"/>
          <w:szCs w:val="20"/>
          <w:color w:val="4D4D4D"/>
        </w:rPr>
        <w:t>Material Con</w:t>
      </w:r>
      <w:r>
        <w:rPr>
          <w:rFonts w:ascii="Times New Roman" w:cs="Times New Roman" w:eastAsia="Times New Roman" w:hAnsi="Times New Roman"/>
          <w:sz w:val="20"/>
          <w:szCs w:val="20"/>
          <w:color w:val="282828"/>
        </w:rPr>
        <w:t>tact</w:t>
      </w:r>
      <w:r>
        <w:rPr>
          <w:rFonts w:ascii="Times New Roman" w:cs="Times New Roman" w:eastAsia="Times New Roman" w:hAnsi="Times New Roman"/>
          <w:sz w:val="20"/>
          <w:szCs w:val="20"/>
          <w:color w:val="3B3B3B"/>
        </w:rPr>
        <w:t xml:space="preserve"> during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last </w:t>
      </w:r>
      <w:r>
        <w:rPr>
          <w:rFonts w:ascii="Times New Roman" w:cs="Times New Roman" w:eastAsia="Times New Roman" w:hAnsi="Times New Roman"/>
          <w:sz w:val="20"/>
          <w:szCs w:val="20"/>
          <w:color w:val="282828"/>
        </w:rPr>
        <w:t>1</w:t>
      </w:r>
      <w:r>
        <w:rPr>
          <w:rFonts w:ascii="Times New Roman" w:cs="Times New Roman" w:eastAsia="Times New Roman" w:hAnsi="Times New Roman"/>
          <w:sz w:val="20"/>
          <w:szCs w:val="20"/>
          <w:color w:val="4D4D4D"/>
        </w:rPr>
        <w:t>8</w:t>
      </w:r>
      <w:r>
        <w:rPr>
          <w:rFonts w:ascii="Times New Roman" w:cs="Times New Roman" w:eastAsia="Times New Roman" w:hAnsi="Times New Roman"/>
          <w:sz w:val="20"/>
          <w:szCs w:val="20"/>
          <w:color w:val="3B3B3B"/>
        </w:rPr>
        <w:t xml:space="preserve"> months of his employment with the </w:t>
      </w:r>
      <w:r>
        <w:rPr>
          <w:rFonts w:ascii="Times New Roman" w:cs="Times New Roman" w:eastAsia="Times New Roman" w:hAnsi="Times New Roman"/>
          <w:sz w:val="20"/>
          <w:szCs w:val="20"/>
          <w:color w:val="4D4D4D"/>
        </w:rPr>
        <w:t>Company</w:t>
      </w:r>
      <w:r>
        <w:rPr>
          <w:rFonts w:ascii="Times New Roman" w:cs="Times New Roman" w:eastAsia="Times New Roman" w:hAnsi="Times New Roman"/>
          <w:sz w:val="20"/>
          <w:szCs w:val="20"/>
          <w:color w:val="3B3B3B"/>
        </w:rPr>
        <w:t xml:space="preserve"> to provide services to any person or </w:t>
      </w:r>
      <w:r>
        <w:rPr>
          <w:rFonts w:ascii="Times New Roman" w:cs="Times New Roman" w:eastAsia="Times New Roman" w:hAnsi="Times New Roman"/>
          <w:sz w:val="20"/>
          <w:szCs w:val="20"/>
          <w:color w:val="4D4D4D"/>
        </w:rPr>
        <w:t>ent</w:t>
      </w:r>
      <w:r>
        <w:rPr>
          <w:rFonts w:ascii="Times New Roman" w:cs="Times New Roman" w:eastAsia="Times New Roman" w:hAnsi="Times New Roman"/>
          <w:sz w:val="20"/>
          <w:szCs w:val="20"/>
          <w:color w:val="282828"/>
        </w:rPr>
        <w:t>ity</w:t>
      </w:r>
      <w:r>
        <w:rPr>
          <w:rFonts w:ascii="Times New Roman" w:cs="Times New Roman" w:eastAsia="Times New Roman" w:hAnsi="Times New Roman"/>
          <w:sz w:val="20"/>
          <w:szCs w:val="20"/>
          <w:color w:val="3B3B3B"/>
        </w:rPr>
        <w:t xml:space="preserve"> which competes with the Business of </w:t>
      </w:r>
      <w:r>
        <w:rPr>
          <w:rFonts w:ascii="Times New Roman" w:cs="Times New Roman" w:eastAsia="Times New Roman" w:hAnsi="Times New Roman"/>
          <w:sz w:val="20"/>
          <w:szCs w:val="20"/>
          <w:color w:val="4D4D4D"/>
        </w:rPr>
        <w:t>Compan</w:t>
      </w:r>
      <w:r>
        <w:rPr>
          <w:rFonts w:ascii="Times New Roman" w:cs="Times New Roman" w:eastAsia="Times New Roman" w:hAnsi="Times New Roman"/>
          <w:sz w:val="20"/>
          <w:szCs w:val="20"/>
          <w:color w:val="282828"/>
        </w:rPr>
        <w:t>y.</w:t>
      </w:r>
    </w:p>
    <w:p>
      <w:pPr>
        <w:spacing w:after="0" w:line="200" w:lineRule="exact"/>
        <w:rPr>
          <w:rFonts w:ascii="Times New Roman" w:cs="Times New Roman" w:eastAsia="Times New Roman" w:hAnsi="Times New Roman"/>
          <w:sz w:val="20"/>
          <w:szCs w:val="20"/>
          <w:color w:val="auto"/>
        </w:rPr>
      </w:pPr>
    </w:p>
    <w:p>
      <w:pPr>
        <w:ind w:left="-1080" w:right="80" w:firstLine="1293"/>
        <w:spacing w:after="0" w:line="268" w:lineRule="auto"/>
        <w:tabs>
          <w:tab w:leader="none" w:pos="59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 xml:space="preserve">COVENANT OF NON-RECRUITMENT. The Executive agrees </w:t>
      </w:r>
      <w:r>
        <w:rPr>
          <w:rFonts w:ascii="Times New Roman" w:cs="Times New Roman" w:eastAsia="Times New Roman" w:hAnsi="Times New Roman"/>
          <w:sz w:val="20"/>
          <w:szCs w:val="20"/>
          <w:color w:val="282828"/>
        </w:rPr>
        <w:t>tha</w:t>
      </w:r>
      <w:r>
        <w:rPr>
          <w:rFonts w:ascii="Times New Roman" w:cs="Times New Roman" w:eastAsia="Times New Roman" w:hAnsi="Times New Roman"/>
          <w:sz w:val="20"/>
          <w:szCs w:val="20"/>
          <w:color w:val="4D4D4D"/>
        </w:rPr>
        <w:t>t</w:t>
      </w:r>
      <w:r>
        <w:rPr>
          <w:rFonts w:ascii="Times New Roman" w:cs="Times New Roman" w:eastAsia="Times New Roman" w:hAnsi="Times New Roman"/>
          <w:sz w:val="20"/>
          <w:szCs w:val="20"/>
          <w:color w:val="3B3B3B"/>
        </w:rPr>
        <w:t xml:space="preserve"> while employed by the Company and </w:t>
      </w:r>
      <w:r>
        <w:rPr>
          <w:rFonts w:ascii="Times New Roman" w:cs="Times New Roman" w:eastAsia="Times New Roman" w:hAnsi="Times New Roman"/>
          <w:sz w:val="20"/>
          <w:szCs w:val="20"/>
          <w:color w:val="4D4D4D"/>
        </w:rPr>
        <w:t>for</w:t>
      </w:r>
      <w:r>
        <w:rPr>
          <w:rFonts w:ascii="Times New Roman" w:cs="Times New Roman" w:eastAsia="Times New Roman" w:hAnsi="Times New Roman"/>
          <w:sz w:val="20"/>
          <w:szCs w:val="20"/>
          <w:color w:val="3B3B3B"/>
        </w:rPr>
        <w:t xml:space="preserve"> a period of twenty-four (24) months following the cessation of his </w:t>
      </w:r>
      <w:r>
        <w:rPr>
          <w:rFonts w:ascii="Times New Roman" w:cs="Times New Roman" w:eastAsia="Times New Roman" w:hAnsi="Times New Roman"/>
          <w:sz w:val="20"/>
          <w:szCs w:val="20"/>
          <w:color w:val="4D4D4D"/>
        </w:rPr>
        <w:t>emp</w:t>
      </w:r>
      <w:r>
        <w:rPr>
          <w:rFonts w:ascii="Times New Roman" w:cs="Times New Roman" w:eastAsia="Times New Roman" w:hAnsi="Times New Roman"/>
          <w:sz w:val="20"/>
          <w:szCs w:val="20"/>
          <w:color w:val="282828"/>
        </w:rPr>
        <w:t>lo</w:t>
      </w:r>
      <w:r>
        <w:rPr>
          <w:rFonts w:ascii="Times New Roman" w:cs="Times New Roman" w:eastAsia="Times New Roman" w:hAnsi="Times New Roman"/>
          <w:sz w:val="20"/>
          <w:szCs w:val="20"/>
          <w:color w:val="4D4D4D"/>
        </w:rPr>
        <w:t>yment</w:t>
      </w:r>
      <w:r>
        <w:rPr>
          <w:rFonts w:ascii="Times New Roman" w:cs="Times New Roman" w:eastAsia="Times New Roman" w:hAnsi="Times New Roman"/>
          <w:sz w:val="20"/>
          <w:szCs w:val="20"/>
          <w:color w:val="3B3B3B"/>
        </w:rPr>
        <w:t xml:space="preserve"> for any reason</w:t>
      </w:r>
      <w:r>
        <w:rPr>
          <w:rFonts w:ascii="Times New Roman" w:cs="Times New Roman" w:eastAsia="Times New Roman" w:hAnsi="Times New Roman"/>
          <w:sz w:val="20"/>
          <w:szCs w:val="20"/>
          <w:color w:val="727272"/>
        </w:rPr>
        <w:t>,</w:t>
      </w:r>
      <w:r>
        <w:rPr>
          <w:rFonts w:ascii="Times New Roman" w:cs="Times New Roman" w:eastAsia="Times New Roman" w:hAnsi="Times New Roman"/>
          <w:sz w:val="20"/>
          <w:szCs w:val="20"/>
          <w:color w:val="3B3B3B"/>
        </w:rPr>
        <w:t xml:space="preserve"> he will not directly or </w:t>
      </w:r>
      <w:r>
        <w:rPr>
          <w:rFonts w:ascii="Times New Roman" w:cs="Times New Roman" w:eastAsia="Times New Roman" w:hAnsi="Times New Roman"/>
          <w:sz w:val="20"/>
          <w:szCs w:val="20"/>
          <w:color w:val="282828"/>
        </w:rPr>
        <w:t>ind</w:t>
      </w:r>
      <w:r>
        <w:rPr>
          <w:rFonts w:ascii="Times New Roman" w:cs="Times New Roman" w:eastAsia="Times New Roman" w:hAnsi="Times New Roman"/>
          <w:sz w:val="20"/>
          <w:szCs w:val="20"/>
          <w:color w:val="4D4D4D"/>
        </w:rPr>
        <w:t>irec</w:t>
      </w:r>
      <w:r>
        <w:rPr>
          <w:rFonts w:ascii="Times New Roman" w:cs="Times New Roman" w:eastAsia="Times New Roman" w:hAnsi="Times New Roman"/>
          <w:sz w:val="20"/>
          <w:szCs w:val="20"/>
          <w:color w:val="282828"/>
        </w:rPr>
        <w:t>tly</w:t>
      </w:r>
      <w:r>
        <w:rPr>
          <w:rFonts w:ascii="Times New Roman" w:cs="Times New Roman" w:eastAsia="Times New Roman" w:hAnsi="Times New Roman"/>
          <w:sz w:val="20"/>
          <w:szCs w:val="20"/>
          <w:color w:val="3B3B3B"/>
        </w:rPr>
        <w:t xml:space="preserve"> solicit or attempt </w:t>
      </w:r>
      <w:r>
        <w:rPr>
          <w:rFonts w:ascii="Times New Roman" w:cs="Times New Roman" w:eastAsia="Times New Roman" w:hAnsi="Times New Roman"/>
          <w:sz w:val="20"/>
          <w:szCs w:val="20"/>
          <w:color w:val="4D4D4D"/>
        </w:rPr>
        <w:t>to</w:t>
      </w:r>
      <w:r>
        <w:rPr>
          <w:rFonts w:ascii="Times New Roman" w:cs="Times New Roman" w:eastAsia="Times New Roman" w:hAnsi="Times New Roman"/>
          <w:sz w:val="20"/>
          <w:szCs w:val="20"/>
          <w:color w:val="3B3B3B"/>
        </w:rPr>
        <w:t xml:space="preserve"> solicit any other employee of the </w:t>
      </w:r>
      <w:r>
        <w:rPr>
          <w:rFonts w:ascii="Times New Roman" w:cs="Times New Roman" w:eastAsia="Times New Roman" w:hAnsi="Times New Roman"/>
          <w:sz w:val="20"/>
          <w:szCs w:val="20"/>
          <w:color w:val="4D4D4D"/>
        </w:rPr>
        <w:t>Company</w:t>
      </w:r>
      <w:r>
        <w:rPr>
          <w:rFonts w:ascii="Times New Roman" w:cs="Times New Roman" w:eastAsia="Times New Roman" w:hAnsi="Times New Roman"/>
          <w:sz w:val="20"/>
          <w:szCs w:val="20"/>
          <w:color w:val="3B3B3B"/>
        </w:rPr>
        <w:t xml:space="preserve"> for the purpose of encouraging, enticing, or causing said employee </w:t>
      </w:r>
      <w:r>
        <w:rPr>
          <w:rFonts w:ascii="Times New Roman" w:cs="Times New Roman" w:eastAsia="Times New Roman" w:hAnsi="Times New Roman"/>
          <w:sz w:val="20"/>
          <w:szCs w:val="20"/>
          <w:color w:val="4D4D4D"/>
        </w:rPr>
        <w:t>to voluntarily</w:t>
      </w:r>
      <w:r>
        <w:rPr>
          <w:rFonts w:ascii="Times New Roman" w:cs="Times New Roman" w:eastAsia="Times New Roman" w:hAnsi="Times New Roman"/>
          <w:sz w:val="20"/>
          <w:szCs w:val="20"/>
          <w:color w:val="3B3B3B"/>
        </w:rPr>
        <w:t xml:space="preserve"> terminate employment with the </w:t>
      </w:r>
      <w:r>
        <w:rPr>
          <w:rFonts w:ascii="Times New Roman" w:cs="Times New Roman" w:eastAsia="Times New Roman" w:hAnsi="Times New Roman"/>
          <w:sz w:val="20"/>
          <w:szCs w:val="20"/>
          <w:color w:val="4D4D4D"/>
        </w:rPr>
        <w:t>Company.</w:t>
      </w:r>
    </w:p>
    <w:p>
      <w:pPr>
        <w:sectPr>
          <w:pgSz w:w="11900" w:h="16838" w:orient="portrait"/>
          <w:cols w:equalWidth="0" w:num="1">
            <w:col w:w="10140"/>
          </w:cols>
          <w:pgMar w:left="1440" w:top="468" w:right="319" w:bottom="1440" w:gutter="0" w:footer="0" w:header="0"/>
        </w:sectPr>
      </w:pPr>
    </w:p>
    <w:bookmarkStart w:id="120" w:name="page121"/>
    <w:bookmarkEnd w:id="120"/>
    <w:p>
      <w:pPr>
        <w:ind w:left="-1060" w:firstLine="1300"/>
        <w:spacing w:after="0" w:line="262" w:lineRule="auto"/>
        <w:tabs>
          <w:tab w:leader="none" w:pos="647"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 xml:space="preserve">COVENANT TO RETURN PROPERTY AND INFORMATION. The Executive </w:t>
      </w:r>
      <w:r>
        <w:rPr>
          <w:rFonts w:ascii="Times New Roman" w:cs="Times New Roman" w:eastAsia="Times New Roman" w:hAnsi="Times New Roman"/>
          <w:sz w:val="20"/>
          <w:szCs w:val="20"/>
          <w:color w:val="2D2D2D"/>
        </w:rPr>
        <w:t>ag</w:t>
      </w:r>
      <w:r>
        <w:rPr>
          <w:rFonts w:ascii="Times New Roman" w:cs="Times New Roman" w:eastAsia="Times New Roman" w:hAnsi="Times New Roman"/>
          <w:sz w:val="20"/>
          <w:szCs w:val="20"/>
          <w:color w:val="525252"/>
        </w:rPr>
        <w:t>rees</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to</w:t>
      </w:r>
      <w:r>
        <w:rPr>
          <w:rFonts w:ascii="Times New Roman" w:cs="Times New Roman" w:eastAsia="Times New Roman" w:hAnsi="Times New Roman"/>
          <w:sz w:val="20"/>
          <w:szCs w:val="20"/>
          <w:color w:val="3D3D3D"/>
        </w:rPr>
        <w:t xml:space="preserve"> return all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Company's </w:t>
      </w:r>
      <w:r>
        <w:rPr>
          <w:rFonts w:ascii="Times New Roman" w:cs="Times New Roman" w:eastAsia="Times New Roman" w:hAnsi="Times New Roman"/>
          <w:sz w:val="20"/>
          <w:szCs w:val="20"/>
          <w:color w:val="2D2D2D"/>
        </w:rPr>
        <w:t xml:space="preserve">property </w:t>
      </w:r>
      <w:r>
        <w:rPr>
          <w:rFonts w:ascii="Times New Roman" w:cs="Times New Roman" w:eastAsia="Times New Roman" w:hAnsi="Times New Roman"/>
          <w:sz w:val="20"/>
          <w:szCs w:val="20"/>
          <w:color w:val="3D3D3D"/>
        </w:rPr>
        <w:t>within seven (7) days</w:t>
      </w:r>
      <w:r>
        <w:rPr>
          <w:rFonts w:ascii="Times New Roman" w:cs="Times New Roman" w:eastAsia="Times New Roman" w:hAnsi="Times New Roman"/>
          <w:sz w:val="20"/>
          <w:szCs w:val="20"/>
          <w:color w:val="2D2D2D"/>
        </w:rPr>
        <w:t xml:space="preserve"> following </w:t>
      </w:r>
      <w:r>
        <w:rPr>
          <w:rFonts w:ascii="Times New Roman" w:cs="Times New Roman" w:eastAsia="Times New Roman" w:hAnsi="Times New Roman"/>
          <w:sz w:val="20"/>
          <w:szCs w:val="20"/>
          <w:color w:val="3D3D3D"/>
        </w:rPr>
        <w:t>the cessation of</w:t>
      </w:r>
      <w:r>
        <w:rPr>
          <w:rFonts w:ascii="Times New Roman" w:cs="Times New Roman" w:eastAsia="Times New Roman" w:hAnsi="Times New Roman"/>
          <w:sz w:val="20"/>
          <w:szCs w:val="20"/>
          <w:color w:val="2D2D2D"/>
        </w:rPr>
        <w:t xml:space="preserve"> his </w:t>
      </w:r>
      <w:r>
        <w:rPr>
          <w:rFonts w:ascii="Times New Roman" w:cs="Times New Roman" w:eastAsia="Times New Roman" w:hAnsi="Times New Roman"/>
          <w:sz w:val="20"/>
          <w:szCs w:val="20"/>
          <w:color w:val="3D3D3D"/>
        </w:rPr>
        <w:t>employment</w:t>
      </w:r>
      <w:r>
        <w:rPr>
          <w:rFonts w:ascii="Times New Roman" w:cs="Times New Roman" w:eastAsia="Times New Roman" w:hAnsi="Times New Roman"/>
          <w:sz w:val="20"/>
          <w:szCs w:val="20"/>
          <w:color w:val="2D2D2D"/>
        </w:rPr>
        <w:t xml:space="preserve"> for </w:t>
      </w:r>
      <w:r>
        <w:rPr>
          <w:rFonts w:ascii="Times New Roman" w:cs="Times New Roman" w:eastAsia="Times New Roman" w:hAnsi="Times New Roman"/>
          <w:sz w:val="20"/>
          <w:szCs w:val="20"/>
          <w:color w:val="3D3D3D"/>
        </w:rPr>
        <w:t>any reason. Such property includes,</w:t>
      </w:r>
      <w:r>
        <w:rPr>
          <w:rFonts w:ascii="Times New Roman" w:cs="Times New Roman" w:eastAsia="Times New Roman" w:hAnsi="Times New Roman"/>
          <w:sz w:val="20"/>
          <w:szCs w:val="20"/>
          <w:color w:val="2D2D2D"/>
        </w:rPr>
        <w:t xml:space="preserve"> but </w:t>
      </w:r>
      <w:r>
        <w:rPr>
          <w:rFonts w:ascii="Times New Roman" w:cs="Times New Roman" w:eastAsia="Times New Roman" w:hAnsi="Times New Roman"/>
          <w:sz w:val="20"/>
          <w:szCs w:val="20"/>
          <w:color w:val="3D3D3D"/>
        </w:rPr>
        <w:t>is</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1C1C1C"/>
        </w:rPr>
        <w:t>no</w:t>
      </w:r>
      <w:r>
        <w:rPr>
          <w:rFonts w:ascii="Times New Roman" w:cs="Times New Roman" w:eastAsia="Times New Roman" w:hAnsi="Times New Roman"/>
          <w:sz w:val="20"/>
          <w:szCs w:val="20"/>
          <w:color w:val="3D3D3D"/>
        </w:rPr>
        <w:t>t</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1C1C1C"/>
        </w:rPr>
        <w:t>li</w:t>
      </w:r>
      <w:r>
        <w:rPr>
          <w:rFonts w:ascii="Times New Roman" w:cs="Times New Roman" w:eastAsia="Times New Roman" w:hAnsi="Times New Roman"/>
          <w:sz w:val="20"/>
          <w:szCs w:val="20"/>
          <w:color w:val="3D3D3D"/>
        </w:rPr>
        <w:t>mited to, the</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D3D3D"/>
        </w:rPr>
        <w:t xml:space="preserve">original and any copy (regardless </w:t>
      </w:r>
      <w:r>
        <w:rPr>
          <w:rFonts w:ascii="Times New Roman" w:cs="Times New Roman" w:eastAsia="Times New Roman" w:hAnsi="Times New Roman"/>
          <w:sz w:val="20"/>
          <w:szCs w:val="20"/>
          <w:color w:val="525252"/>
        </w:rPr>
        <w:t>of</w:t>
      </w:r>
      <w:r>
        <w:rPr>
          <w:rFonts w:ascii="Times New Roman" w:cs="Times New Roman" w:eastAsia="Times New Roman" w:hAnsi="Times New Roman"/>
          <w:sz w:val="20"/>
          <w:szCs w:val="20"/>
          <w:color w:val="3D3D3D"/>
        </w:rPr>
        <w:t xml:space="preserve"> the </w:t>
      </w:r>
      <w:r>
        <w:rPr>
          <w:rFonts w:ascii="Times New Roman" w:cs="Times New Roman" w:eastAsia="Times New Roman" w:hAnsi="Times New Roman"/>
          <w:sz w:val="20"/>
          <w:szCs w:val="20"/>
          <w:color w:val="2D2D2D"/>
        </w:rPr>
        <w:t>manne</w:t>
      </w:r>
      <w:r>
        <w:rPr>
          <w:rFonts w:ascii="Times New Roman" w:cs="Times New Roman" w:eastAsia="Times New Roman" w:hAnsi="Times New Roman"/>
          <w:sz w:val="20"/>
          <w:szCs w:val="20"/>
          <w:color w:val="525252"/>
        </w:rPr>
        <w:t>r</w:t>
      </w:r>
      <w:r>
        <w:rPr>
          <w:rFonts w:ascii="Times New Roman" w:cs="Times New Roman" w:eastAsia="Times New Roman" w:hAnsi="Times New Roman"/>
          <w:sz w:val="20"/>
          <w:szCs w:val="20"/>
          <w:color w:val="3D3D3D"/>
        </w:rPr>
        <w:t xml:space="preserve"> in </w:t>
      </w:r>
      <w:r>
        <w:rPr>
          <w:rFonts w:ascii="Times New Roman" w:cs="Times New Roman" w:eastAsia="Times New Roman" w:hAnsi="Times New Roman"/>
          <w:sz w:val="20"/>
          <w:szCs w:val="20"/>
          <w:color w:val="2D2D2D"/>
        </w:rPr>
        <w:t>which</w:t>
      </w:r>
      <w:r>
        <w:rPr>
          <w:rFonts w:ascii="Times New Roman" w:cs="Times New Roman" w:eastAsia="Times New Roman" w:hAnsi="Times New Roman"/>
          <w:sz w:val="20"/>
          <w:szCs w:val="20"/>
          <w:color w:val="3D3D3D"/>
        </w:rPr>
        <w:t xml:space="preserve"> it </w:t>
      </w:r>
      <w:r>
        <w:rPr>
          <w:rFonts w:ascii="Times New Roman" w:cs="Times New Roman" w:eastAsia="Times New Roman" w:hAnsi="Times New Roman"/>
          <w:sz w:val="20"/>
          <w:szCs w:val="20"/>
          <w:color w:val="2D2D2D"/>
        </w:rPr>
        <w:t>is recorded)</w:t>
      </w:r>
      <w:r>
        <w:rPr>
          <w:rFonts w:ascii="Times New Roman" w:cs="Times New Roman" w:eastAsia="Times New Roman" w:hAnsi="Times New Roman"/>
          <w:sz w:val="20"/>
          <w:szCs w:val="20"/>
          <w:color w:val="3D3D3D"/>
        </w:rPr>
        <w:t xml:space="preserve"> of all information provided by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Company </w:t>
      </w:r>
      <w:r>
        <w:rPr>
          <w:rFonts w:ascii="Times New Roman" w:cs="Times New Roman" w:eastAsia="Times New Roman" w:hAnsi="Times New Roman"/>
          <w:sz w:val="20"/>
          <w:szCs w:val="20"/>
          <w:color w:val="2D2D2D"/>
        </w:rPr>
        <w:t>to</w:t>
      </w:r>
      <w:r>
        <w:rPr>
          <w:rFonts w:ascii="Times New Roman" w:cs="Times New Roman" w:eastAsia="Times New Roman" w:hAnsi="Times New Roman"/>
          <w:sz w:val="20"/>
          <w:szCs w:val="20"/>
          <w:color w:val="3D3D3D"/>
        </w:rPr>
        <w:t xml:space="preserve"> the Executive, or which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Execu</w:t>
      </w:r>
      <w:r>
        <w:rPr>
          <w:rFonts w:ascii="Times New Roman" w:cs="Times New Roman" w:eastAsia="Times New Roman" w:hAnsi="Times New Roman"/>
          <w:sz w:val="20"/>
          <w:szCs w:val="20"/>
          <w:color w:val="1C1C1C"/>
        </w:rPr>
        <w:t>t</w:t>
      </w:r>
      <w:r>
        <w:rPr>
          <w:rFonts w:ascii="Times New Roman" w:cs="Times New Roman" w:eastAsia="Times New Roman" w:hAnsi="Times New Roman"/>
          <w:sz w:val="20"/>
          <w:szCs w:val="20"/>
          <w:color w:val="3D3D3D"/>
        </w:rPr>
        <w:t xml:space="preserve">ive has </w:t>
      </w:r>
      <w:r>
        <w:rPr>
          <w:rFonts w:ascii="Times New Roman" w:cs="Times New Roman" w:eastAsia="Times New Roman" w:hAnsi="Times New Roman"/>
          <w:sz w:val="20"/>
          <w:szCs w:val="20"/>
          <w:color w:val="2D2D2D"/>
        </w:rPr>
        <w:t>deve</w:t>
      </w:r>
      <w:r>
        <w:rPr>
          <w:rFonts w:ascii="Times New Roman" w:cs="Times New Roman" w:eastAsia="Times New Roman" w:hAnsi="Times New Roman"/>
          <w:sz w:val="20"/>
          <w:szCs w:val="20"/>
          <w:color w:val="525252"/>
        </w:rPr>
        <w:t>loped</w:t>
      </w:r>
      <w:r>
        <w:rPr>
          <w:rFonts w:ascii="Times New Roman" w:cs="Times New Roman" w:eastAsia="Times New Roman" w:hAnsi="Times New Roman"/>
          <w:sz w:val="20"/>
          <w:szCs w:val="20"/>
          <w:color w:val="3D3D3D"/>
        </w:rPr>
        <w:t xml:space="preserve"> or co</w:t>
      </w:r>
      <w:r>
        <w:rPr>
          <w:rFonts w:ascii="Times New Roman" w:cs="Times New Roman" w:eastAsia="Times New Roman" w:hAnsi="Times New Roman"/>
          <w:sz w:val="20"/>
          <w:szCs w:val="20"/>
          <w:color w:val="1C1C1C"/>
        </w:rPr>
        <w:t>ll</w:t>
      </w:r>
      <w:r>
        <w:rPr>
          <w:rFonts w:ascii="Times New Roman" w:cs="Times New Roman" w:eastAsia="Times New Roman" w:hAnsi="Times New Roman"/>
          <w:sz w:val="20"/>
          <w:szCs w:val="20"/>
          <w:color w:val="3D3D3D"/>
        </w:rPr>
        <w:t xml:space="preserve">ected in the scope of his employment with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Company, as well as </w:t>
      </w:r>
      <w:r>
        <w:rPr>
          <w:rFonts w:ascii="Times New Roman" w:cs="Times New Roman" w:eastAsia="Times New Roman" w:hAnsi="Times New Roman"/>
          <w:sz w:val="20"/>
          <w:szCs w:val="20"/>
          <w:color w:val="2D2D2D"/>
        </w:rPr>
        <w:t>all</w:t>
      </w:r>
      <w:r>
        <w:rPr>
          <w:rFonts w:ascii="Times New Roman" w:cs="Times New Roman" w:eastAsia="Times New Roman" w:hAnsi="Times New Roman"/>
          <w:sz w:val="20"/>
          <w:szCs w:val="20"/>
          <w:color w:val="3D3D3D"/>
        </w:rPr>
        <w:t xml:space="preserve"> Company-issued equipment, supplies, accessories, vehicles, keys</w:t>
      </w:r>
      <w:r>
        <w:rPr>
          <w:rFonts w:ascii="Times New Roman" w:cs="Times New Roman" w:eastAsia="Times New Roman" w:hAnsi="Times New Roman"/>
          <w:sz w:val="20"/>
          <w:szCs w:val="20"/>
          <w:color w:val="6B6B6B"/>
        </w:rPr>
        <w:t>,</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instruments,</w:t>
      </w:r>
      <w:r>
        <w:rPr>
          <w:rFonts w:ascii="Times New Roman" w:cs="Times New Roman" w:eastAsia="Times New Roman" w:hAnsi="Times New Roman"/>
          <w:sz w:val="20"/>
          <w:szCs w:val="20"/>
          <w:color w:val="3D3D3D"/>
        </w:rPr>
        <w:t xml:space="preserve"> tools, devices, computers, cell phones, pagers, materials, </w:t>
      </w:r>
      <w:r>
        <w:rPr>
          <w:rFonts w:ascii="Times New Roman" w:cs="Times New Roman" w:eastAsia="Times New Roman" w:hAnsi="Times New Roman"/>
          <w:sz w:val="20"/>
          <w:szCs w:val="20"/>
          <w:color w:val="2D2D2D"/>
        </w:rPr>
        <w:t>documents</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3D3D3D"/>
        </w:rPr>
        <w:t xml:space="preserve"> plans, records, notebooks, drawings, or </w:t>
      </w:r>
      <w:r>
        <w:rPr>
          <w:rFonts w:ascii="Times New Roman" w:cs="Times New Roman" w:eastAsia="Times New Roman" w:hAnsi="Times New Roman"/>
          <w:sz w:val="20"/>
          <w:szCs w:val="20"/>
          <w:color w:val="2D2D2D"/>
        </w:rPr>
        <w:t>papers</w:t>
      </w:r>
      <w:r>
        <w:rPr>
          <w:rFonts w:ascii="Times New Roman" w:cs="Times New Roman" w:eastAsia="Times New Roman" w:hAnsi="Times New Roman"/>
          <w:sz w:val="20"/>
          <w:szCs w:val="20"/>
          <w:color w:val="7E7E7E"/>
        </w:rPr>
        <w:t>.</w:t>
      </w:r>
    </w:p>
    <w:p>
      <w:pPr>
        <w:spacing w:after="0" w:line="208" w:lineRule="exact"/>
        <w:rPr>
          <w:rFonts w:ascii="Times New Roman" w:cs="Times New Roman" w:eastAsia="Times New Roman" w:hAnsi="Times New Roman"/>
          <w:sz w:val="20"/>
          <w:szCs w:val="20"/>
          <w:color w:val="auto"/>
        </w:rPr>
      </w:pPr>
    </w:p>
    <w:p>
      <w:pPr>
        <w:ind w:left="-1060" w:right="200" w:firstLine="1300"/>
        <w:spacing w:after="0" w:line="271" w:lineRule="auto"/>
        <w:tabs>
          <w:tab w:leader="none" w:pos="647"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 xml:space="preserve">ASSIGNMENT OF WORK PRODUCT AND INVENTIONS. The Executive hereby assigns </w:t>
      </w:r>
      <w:r>
        <w:rPr>
          <w:rFonts w:ascii="Times New Roman" w:cs="Times New Roman" w:eastAsia="Times New Roman" w:hAnsi="Times New Roman"/>
          <w:sz w:val="20"/>
          <w:szCs w:val="20"/>
          <w:color w:val="2D2D2D"/>
        </w:rPr>
        <w:t>and grants</w:t>
      </w:r>
      <w:r>
        <w:rPr>
          <w:rFonts w:ascii="Times New Roman" w:cs="Times New Roman" w:eastAsia="Times New Roman" w:hAnsi="Times New Roman"/>
          <w:sz w:val="20"/>
          <w:szCs w:val="20"/>
          <w:color w:val="3D3D3D"/>
        </w:rPr>
        <w:t xml:space="preserve"> to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Company (and will upon </w:t>
      </w:r>
      <w:r>
        <w:rPr>
          <w:rFonts w:ascii="Times New Roman" w:cs="Times New Roman" w:eastAsia="Times New Roman" w:hAnsi="Times New Roman"/>
          <w:sz w:val="20"/>
          <w:szCs w:val="20"/>
          <w:color w:val="2D2D2D"/>
        </w:rPr>
        <w:t>request</w:t>
      </w:r>
      <w:r>
        <w:rPr>
          <w:rFonts w:ascii="Times New Roman" w:cs="Times New Roman" w:eastAsia="Times New Roman" w:hAnsi="Times New Roman"/>
          <w:sz w:val="20"/>
          <w:szCs w:val="20"/>
          <w:color w:val="3D3D3D"/>
        </w:rPr>
        <w:t xml:space="preserve"> take </w:t>
      </w:r>
      <w:r>
        <w:rPr>
          <w:rFonts w:ascii="Times New Roman" w:cs="Times New Roman" w:eastAsia="Times New Roman" w:hAnsi="Times New Roman"/>
          <w:sz w:val="20"/>
          <w:szCs w:val="20"/>
          <w:color w:val="2D2D2D"/>
        </w:rPr>
        <w:t>any actions</w:t>
      </w:r>
      <w:r>
        <w:rPr>
          <w:rFonts w:ascii="Times New Roman" w:cs="Times New Roman" w:eastAsia="Times New Roman" w:hAnsi="Times New Roman"/>
          <w:sz w:val="20"/>
          <w:szCs w:val="20"/>
          <w:color w:val="3D3D3D"/>
        </w:rPr>
        <w:t xml:space="preserve"> needed to formally assign </w:t>
      </w:r>
      <w:r>
        <w:rPr>
          <w:rFonts w:ascii="Times New Roman" w:cs="Times New Roman" w:eastAsia="Times New Roman" w:hAnsi="Times New Roman"/>
          <w:sz w:val="20"/>
          <w:szCs w:val="20"/>
          <w:color w:val="2D2D2D"/>
        </w:rPr>
        <w:t>and grant to</w:t>
      </w:r>
      <w:r>
        <w:rPr>
          <w:rFonts w:ascii="Times New Roman" w:cs="Times New Roman" w:eastAsia="Times New Roman" w:hAnsi="Times New Roman"/>
          <w:sz w:val="20"/>
          <w:szCs w:val="20"/>
          <w:color w:val="3D3D3D"/>
        </w:rPr>
        <w:t xml:space="preserve"> the Company and/or </w:t>
      </w:r>
      <w:r>
        <w:rPr>
          <w:rFonts w:ascii="Times New Roman" w:cs="Times New Roman" w:eastAsia="Times New Roman" w:hAnsi="Times New Roman"/>
          <w:sz w:val="20"/>
          <w:szCs w:val="20"/>
          <w:color w:val="2D2D2D"/>
        </w:rPr>
        <w:t>obtain</w:t>
      </w:r>
      <w:r>
        <w:rPr>
          <w:rFonts w:ascii="Times New Roman" w:cs="Times New Roman" w:eastAsia="Times New Roman" w:hAnsi="Times New Roman"/>
          <w:sz w:val="20"/>
          <w:szCs w:val="20"/>
          <w:color w:val="3D3D3D"/>
        </w:rPr>
        <w:t xml:space="preserve"> patents, </w:t>
      </w:r>
      <w:r>
        <w:rPr>
          <w:rFonts w:ascii="Times New Roman" w:cs="Times New Roman" w:eastAsia="Times New Roman" w:hAnsi="Times New Roman"/>
          <w:sz w:val="20"/>
          <w:szCs w:val="20"/>
          <w:color w:val="2D2D2D"/>
        </w:rPr>
        <w:t>trademark</w:t>
      </w:r>
      <w:r>
        <w:rPr>
          <w:rFonts w:ascii="Times New Roman" w:cs="Times New Roman" w:eastAsia="Times New Roman" w:hAnsi="Times New Roman"/>
          <w:sz w:val="20"/>
          <w:szCs w:val="20"/>
          <w:color w:val="3D3D3D"/>
        </w:rPr>
        <w:t xml:space="preserve"> registrations or copyrights </w:t>
      </w:r>
      <w:r>
        <w:rPr>
          <w:rFonts w:ascii="Times New Roman" w:cs="Times New Roman" w:eastAsia="Times New Roman" w:hAnsi="Times New Roman"/>
          <w:sz w:val="20"/>
          <w:szCs w:val="20"/>
          <w:color w:val="2D2D2D"/>
        </w:rPr>
        <w:t>belonging</w:t>
      </w:r>
      <w:r>
        <w:rPr>
          <w:rFonts w:ascii="Times New Roman" w:cs="Times New Roman" w:eastAsia="Times New Roman" w:hAnsi="Times New Roman"/>
          <w:sz w:val="20"/>
          <w:szCs w:val="20"/>
          <w:color w:val="3D3D3D"/>
        </w:rPr>
        <w:t xml:space="preserve"> to the Company) the </w:t>
      </w:r>
      <w:r>
        <w:rPr>
          <w:rFonts w:ascii="Times New Roman" w:cs="Times New Roman" w:eastAsia="Times New Roman" w:hAnsi="Times New Roman"/>
          <w:sz w:val="20"/>
          <w:szCs w:val="20"/>
          <w:color w:val="2D2D2D"/>
        </w:rPr>
        <w:t>sole</w:t>
      </w:r>
      <w:r>
        <w:rPr>
          <w:rFonts w:ascii="Times New Roman" w:cs="Times New Roman" w:eastAsia="Times New Roman" w:hAnsi="Times New Roman"/>
          <w:sz w:val="20"/>
          <w:szCs w:val="20"/>
          <w:color w:val="3D3D3D"/>
        </w:rPr>
        <w:t xml:space="preserve"> and exclusive ownership of any and all </w:t>
      </w:r>
      <w:r>
        <w:rPr>
          <w:rFonts w:ascii="Times New Roman" w:cs="Times New Roman" w:eastAsia="Times New Roman" w:hAnsi="Times New Roman"/>
          <w:sz w:val="20"/>
          <w:szCs w:val="20"/>
          <w:color w:val="2D2D2D"/>
        </w:rPr>
        <w:t>inventions</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3D3D3D"/>
        </w:rPr>
        <w:t xml:space="preserve"> information, reports, computer software or programs, writings, technical information </w:t>
      </w:r>
      <w:r>
        <w:rPr>
          <w:rFonts w:ascii="Times New Roman" w:cs="Times New Roman" w:eastAsia="Times New Roman" w:hAnsi="Times New Roman"/>
          <w:sz w:val="20"/>
          <w:szCs w:val="20"/>
          <w:color w:val="2D2D2D"/>
        </w:rPr>
        <w:t>or</w:t>
      </w:r>
      <w:r>
        <w:rPr>
          <w:rFonts w:ascii="Times New Roman" w:cs="Times New Roman" w:eastAsia="Times New Roman" w:hAnsi="Times New Roman"/>
          <w:sz w:val="20"/>
          <w:szCs w:val="20"/>
          <w:color w:val="3D3D3D"/>
        </w:rPr>
        <w:t xml:space="preserve"> work </w:t>
      </w:r>
      <w:r>
        <w:rPr>
          <w:rFonts w:ascii="Times New Roman" w:cs="Times New Roman" w:eastAsia="Times New Roman" w:hAnsi="Times New Roman"/>
          <w:sz w:val="20"/>
          <w:szCs w:val="20"/>
          <w:color w:val="2D2D2D"/>
        </w:rPr>
        <w:t>product collected</w:t>
      </w:r>
      <w:r>
        <w:rPr>
          <w:rFonts w:ascii="Times New Roman" w:cs="Times New Roman" w:eastAsia="Times New Roman" w:hAnsi="Times New Roman"/>
          <w:sz w:val="20"/>
          <w:szCs w:val="20"/>
          <w:color w:val="3D3D3D"/>
        </w:rPr>
        <w:t xml:space="preserve"> or developed by the Executive, </w:t>
      </w:r>
      <w:r>
        <w:rPr>
          <w:rFonts w:ascii="Times New Roman" w:cs="Times New Roman" w:eastAsia="Times New Roman" w:hAnsi="Times New Roman"/>
          <w:sz w:val="20"/>
          <w:szCs w:val="20"/>
          <w:color w:val="2D2D2D"/>
        </w:rPr>
        <w:t>alone</w:t>
      </w:r>
      <w:r>
        <w:rPr>
          <w:rFonts w:ascii="Times New Roman" w:cs="Times New Roman" w:eastAsia="Times New Roman" w:hAnsi="Times New Roman"/>
          <w:sz w:val="20"/>
          <w:szCs w:val="20"/>
          <w:color w:val="3D3D3D"/>
        </w:rPr>
        <w:t xml:space="preserve"> or </w:t>
      </w:r>
      <w:r>
        <w:rPr>
          <w:rFonts w:ascii="Times New Roman" w:cs="Times New Roman" w:eastAsia="Times New Roman" w:hAnsi="Times New Roman"/>
          <w:sz w:val="20"/>
          <w:szCs w:val="20"/>
          <w:color w:val="2D2D2D"/>
        </w:rPr>
        <w:t>with</w:t>
      </w:r>
      <w:r>
        <w:rPr>
          <w:rFonts w:ascii="Times New Roman" w:cs="Times New Roman" w:eastAsia="Times New Roman" w:hAnsi="Times New Roman"/>
          <w:sz w:val="20"/>
          <w:szCs w:val="20"/>
          <w:color w:val="3D3D3D"/>
        </w:rPr>
        <w:t xml:space="preserve"> others, </w:t>
      </w:r>
      <w:r>
        <w:rPr>
          <w:rFonts w:ascii="Times New Roman" w:cs="Times New Roman" w:eastAsia="Times New Roman" w:hAnsi="Times New Roman"/>
          <w:sz w:val="20"/>
          <w:szCs w:val="20"/>
          <w:color w:val="2D2D2D"/>
        </w:rPr>
        <w:t>during</w:t>
      </w:r>
      <w:r>
        <w:rPr>
          <w:rFonts w:ascii="Times New Roman" w:cs="Times New Roman" w:eastAsia="Times New Roman" w:hAnsi="Times New Roman"/>
          <w:sz w:val="20"/>
          <w:szCs w:val="20"/>
          <w:color w:val="3D3D3D"/>
        </w:rPr>
        <w:t xml:space="preserve"> the </w:t>
      </w:r>
      <w:r>
        <w:rPr>
          <w:rFonts w:ascii="Times New Roman" w:cs="Times New Roman" w:eastAsia="Times New Roman" w:hAnsi="Times New Roman"/>
          <w:sz w:val="20"/>
          <w:szCs w:val="20"/>
          <w:color w:val="2D2D2D"/>
        </w:rPr>
        <w:t>term</w:t>
      </w:r>
      <w:r>
        <w:rPr>
          <w:rFonts w:ascii="Times New Roman" w:cs="Times New Roman" w:eastAsia="Times New Roman" w:hAnsi="Times New Roman"/>
          <w:sz w:val="20"/>
          <w:szCs w:val="20"/>
          <w:color w:val="3D3D3D"/>
        </w:rPr>
        <w:t xml:space="preserve"> of the </w:t>
      </w:r>
      <w:r>
        <w:rPr>
          <w:rFonts w:ascii="Times New Roman" w:cs="Times New Roman" w:eastAsia="Times New Roman" w:hAnsi="Times New Roman"/>
          <w:sz w:val="20"/>
          <w:szCs w:val="20"/>
          <w:color w:val="2D2D2D"/>
        </w:rPr>
        <w:t>Executive's</w:t>
      </w:r>
      <w:r>
        <w:rPr>
          <w:rFonts w:ascii="Times New Roman" w:cs="Times New Roman" w:eastAsia="Times New Roman" w:hAnsi="Times New Roman"/>
          <w:sz w:val="20"/>
          <w:szCs w:val="20"/>
          <w:color w:val="3D3D3D"/>
        </w:rPr>
        <w:t xml:space="preserve"> employment. </w:t>
      </w:r>
      <w:r>
        <w:rPr>
          <w:rFonts w:ascii="Times New Roman" w:cs="Times New Roman" w:eastAsia="Times New Roman" w:hAnsi="Times New Roman"/>
          <w:sz w:val="20"/>
          <w:szCs w:val="20"/>
          <w:color w:val="2D2D2D"/>
        </w:rPr>
        <w:t>This</w:t>
      </w:r>
      <w:r>
        <w:rPr>
          <w:rFonts w:ascii="Times New Roman" w:cs="Times New Roman" w:eastAsia="Times New Roman" w:hAnsi="Times New Roman"/>
          <w:sz w:val="20"/>
          <w:szCs w:val="20"/>
          <w:color w:val="3D3D3D"/>
        </w:rPr>
        <w:t xml:space="preserve"> duty </w:t>
      </w:r>
      <w:r>
        <w:rPr>
          <w:rFonts w:ascii="Times New Roman" w:cs="Times New Roman" w:eastAsia="Times New Roman" w:hAnsi="Times New Roman"/>
          <w:sz w:val="20"/>
          <w:szCs w:val="20"/>
          <w:color w:val="2D2D2D"/>
        </w:rPr>
        <w:t>applies</w:t>
      </w:r>
      <w:r>
        <w:rPr>
          <w:rFonts w:ascii="Times New Roman" w:cs="Times New Roman" w:eastAsia="Times New Roman" w:hAnsi="Times New Roman"/>
          <w:sz w:val="20"/>
          <w:szCs w:val="20"/>
          <w:color w:val="3D3D3D"/>
        </w:rPr>
        <w:t xml:space="preserve"> whether or not the </w:t>
      </w:r>
      <w:r>
        <w:rPr>
          <w:rFonts w:ascii="Times New Roman" w:cs="Times New Roman" w:eastAsia="Times New Roman" w:hAnsi="Times New Roman"/>
          <w:sz w:val="20"/>
          <w:szCs w:val="20"/>
          <w:color w:val="2D2D2D"/>
        </w:rPr>
        <w:t>forgoing</w:t>
      </w:r>
      <w:r>
        <w:rPr>
          <w:rFonts w:ascii="Times New Roman" w:cs="Times New Roman" w:eastAsia="Times New Roman" w:hAnsi="Times New Roman"/>
          <w:sz w:val="20"/>
          <w:szCs w:val="20"/>
          <w:color w:val="3D3D3D"/>
        </w:rPr>
        <w:t xml:space="preserve"> inventions </w:t>
      </w:r>
      <w:r>
        <w:rPr>
          <w:rFonts w:ascii="Times New Roman" w:cs="Times New Roman" w:eastAsia="Times New Roman" w:hAnsi="Times New Roman"/>
          <w:sz w:val="20"/>
          <w:szCs w:val="20"/>
          <w:color w:val="2D2D2D"/>
        </w:rPr>
        <w:t>or</w:t>
      </w:r>
      <w:r>
        <w:rPr>
          <w:rFonts w:ascii="Times New Roman" w:cs="Times New Roman" w:eastAsia="Times New Roman" w:hAnsi="Times New Roman"/>
          <w:sz w:val="20"/>
          <w:szCs w:val="20"/>
          <w:color w:val="3D3D3D"/>
        </w:rPr>
        <w:t xml:space="preserve"> information </w:t>
      </w:r>
      <w:r>
        <w:rPr>
          <w:rFonts w:ascii="Times New Roman" w:cs="Times New Roman" w:eastAsia="Times New Roman" w:hAnsi="Times New Roman"/>
          <w:sz w:val="20"/>
          <w:szCs w:val="20"/>
          <w:color w:val="2D2D2D"/>
        </w:rPr>
        <w:t>are</w:t>
      </w:r>
      <w:r>
        <w:rPr>
          <w:rFonts w:ascii="Times New Roman" w:cs="Times New Roman" w:eastAsia="Times New Roman" w:hAnsi="Times New Roman"/>
          <w:sz w:val="20"/>
          <w:szCs w:val="20"/>
          <w:color w:val="3D3D3D"/>
        </w:rPr>
        <w:t xml:space="preserve"> made or prepared </w:t>
      </w:r>
      <w:r>
        <w:rPr>
          <w:rFonts w:ascii="Times New Roman" w:cs="Times New Roman" w:eastAsia="Times New Roman" w:hAnsi="Times New Roman"/>
          <w:sz w:val="20"/>
          <w:szCs w:val="20"/>
          <w:color w:val="2D2D2D"/>
        </w:rPr>
        <w:t>in</w:t>
      </w:r>
      <w:r>
        <w:rPr>
          <w:rFonts w:ascii="Times New Roman" w:cs="Times New Roman" w:eastAsia="Times New Roman" w:hAnsi="Times New Roman"/>
          <w:sz w:val="20"/>
          <w:szCs w:val="20"/>
          <w:color w:val="3D3D3D"/>
        </w:rPr>
        <w:t xml:space="preserve"> the course of employment with the Company, so long as such inventions or information </w:t>
      </w:r>
      <w:r>
        <w:rPr>
          <w:rFonts w:ascii="Times New Roman" w:cs="Times New Roman" w:eastAsia="Times New Roman" w:hAnsi="Times New Roman"/>
          <w:sz w:val="20"/>
          <w:szCs w:val="20"/>
          <w:color w:val="2D2D2D"/>
        </w:rPr>
        <w:t>relate</w:t>
      </w:r>
      <w:r>
        <w:rPr>
          <w:rFonts w:ascii="Times New Roman" w:cs="Times New Roman" w:eastAsia="Times New Roman" w:hAnsi="Times New Roman"/>
          <w:sz w:val="20"/>
          <w:szCs w:val="20"/>
          <w:color w:val="3D3D3D"/>
        </w:rPr>
        <w:t xml:space="preserve"> to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Business of Company and have </w:t>
      </w:r>
      <w:r>
        <w:rPr>
          <w:rFonts w:ascii="Times New Roman" w:cs="Times New Roman" w:eastAsia="Times New Roman" w:hAnsi="Times New Roman"/>
          <w:sz w:val="20"/>
          <w:szCs w:val="20"/>
          <w:color w:val="2D2D2D"/>
        </w:rPr>
        <w:t>been</w:t>
      </w:r>
      <w:r>
        <w:rPr>
          <w:rFonts w:ascii="Times New Roman" w:cs="Times New Roman" w:eastAsia="Times New Roman" w:hAnsi="Times New Roman"/>
          <w:sz w:val="20"/>
          <w:szCs w:val="20"/>
          <w:color w:val="3D3D3D"/>
        </w:rPr>
        <w:t xml:space="preserve"> developed i</w:t>
      </w:r>
      <w:r>
        <w:rPr>
          <w:rFonts w:ascii="Times New Roman" w:cs="Times New Roman" w:eastAsia="Times New Roman" w:hAnsi="Times New Roman"/>
          <w:sz w:val="20"/>
          <w:szCs w:val="20"/>
          <w:color w:val="1C1C1C"/>
        </w:rPr>
        <w:t>n</w:t>
      </w:r>
      <w:r>
        <w:rPr>
          <w:rFonts w:ascii="Times New Roman" w:cs="Times New Roman" w:eastAsia="Times New Roman" w:hAnsi="Times New Roman"/>
          <w:sz w:val="20"/>
          <w:szCs w:val="20"/>
          <w:color w:val="3D3D3D"/>
        </w:rPr>
        <w:t xml:space="preserve"> who</w:t>
      </w:r>
      <w:r>
        <w:rPr>
          <w:rFonts w:ascii="Times New Roman" w:cs="Times New Roman" w:eastAsia="Times New Roman" w:hAnsi="Times New Roman"/>
          <w:sz w:val="20"/>
          <w:szCs w:val="20"/>
          <w:color w:val="1C1C1C"/>
        </w:rPr>
        <w:t>l</w:t>
      </w:r>
      <w:r>
        <w:rPr>
          <w:rFonts w:ascii="Times New Roman" w:cs="Times New Roman" w:eastAsia="Times New Roman" w:hAnsi="Times New Roman"/>
          <w:sz w:val="20"/>
          <w:szCs w:val="20"/>
          <w:color w:val="3D3D3D"/>
        </w:rPr>
        <w:t xml:space="preserve">e </w:t>
      </w:r>
      <w:r>
        <w:rPr>
          <w:rFonts w:ascii="Times New Roman" w:cs="Times New Roman" w:eastAsia="Times New Roman" w:hAnsi="Times New Roman"/>
          <w:sz w:val="20"/>
          <w:szCs w:val="20"/>
          <w:color w:val="2D2D2D"/>
        </w:rPr>
        <w:t>or</w:t>
      </w:r>
      <w:r>
        <w:rPr>
          <w:rFonts w:ascii="Times New Roman" w:cs="Times New Roman" w:eastAsia="Times New Roman" w:hAnsi="Times New Roman"/>
          <w:sz w:val="20"/>
          <w:szCs w:val="20"/>
          <w:color w:val="3D3D3D"/>
        </w:rPr>
        <w:t xml:space="preserve"> in </w:t>
      </w:r>
      <w:r>
        <w:rPr>
          <w:rFonts w:ascii="Times New Roman" w:cs="Times New Roman" w:eastAsia="Times New Roman" w:hAnsi="Times New Roman"/>
          <w:sz w:val="20"/>
          <w:szCs w:val="20"/>
          <w:color w:val="2D2D2D"/>
        </w:rPr>
        <w:t>part during</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1C1C1C"/>
        </w:rPr>
        <w:t>t</w:t>
      </w:r>
      <w:r>
        <w:rPr>
          <w:rFonts w:ascii="Times New Roman" w:cs="Times New Roman" w:eastAsia="Times New Roman" w:hAnsi="Times New Roman"/>
          <w:sz w:val="20"/>
          <w:szCs w:val="20"/>
          <w:color w:val="3D3D3D"/>
        </w:rPr>
        <w:t xml:space="preserve">he term of the Executive's employment.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Executive agrees to advise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Company in </w:t>
      </w:r>
      <w:r>
        <w:rPr>
          <w:rFonts w:ascii="Times New Roman" w:cs="Times New Roman" w:eastAsia="Times New Roman" w:hAnsi="Times New Roman"/>
          <w:sz w:val="20"/>
          <w:szCs w:val="20"/>
          <w:color w:val="2D2D2D"/>
        </w:rPr>
        <w:t xml:space="preserve">writing </w:t>
      </w:r>
      <w:r>
        <w:rPr>
          <w:rFonts w:ascii="Times New Roman" w:cs="Times New Roman" w:eastAsia="Times New Roman" w:hAnsi="Times New Roman"/>
          <w:sz w:val="20"/>
          <w:szCs w:val="20"/>
          <w:color w:val="3D3D3D"/>
        </w:rPr>
        <w:t>of eac</w:t>
      </w:r>
      <w:r>
        <w:rPr>
          <w:rFonts w:ascii="Times New Roman" w:cs="Times New Roman" w:eastAsia="Times New Roman" w:hAnsi="Times New Roman"/>
          <w:sz w:val="20"/>
          <w:szCs w:val="20"/>
          <w:color w:val="1C1C1C"/>
        </w:rPr>
        <w:t>h</w:t>
      </w:r>
      <w:r>
        <w:rPr>
          <w:rFonts w:ascii="Times New Roman" w:cs="Times New Roman" w:eastAsia="Times New Roman" w:hAnsi="Times New Roman"/>
          <w:sz w:val="20"/>
          <w:szCs w:val="20"/>
          <w:color w:val="2D2D2D"/>
        </w:rPr>
        <w:t xml:space="preserve"> invention that </w:t>
      </w:r>
      <w:r>
        <w:rPr>
          <w:rFonts w:ascii="Times New Roman" w:cs="Times New Roman" w:eastAsia="Times New Roman" w:hAnsi="Times New Roman"/>
          <w:sz w:val="20"/>
          <w:szCs w:val="20"/>
          <w:color w:val="3D3D3D"/>
        </w:rPr>
        <w:t>Executive,</w:t>
      </w:r>
      <w:r>
        <w:rPr>
          <w:rFonts w:ascii="Times New Roman" w:cs="Times New Roman" w:eastAsia="Times New Roman" w:hAnsi="Times New Roman"/>
          <w:sz w:val="20"/>
          <w:szCs w:val="20"/>
          <w:color w:val="2D2D2D"/>
        </w:rPr>
        <w:t xml:space="preserve"> alone </w:t>
      </w:r>
      <w:r>
        <w:rPr>
          <w:rFonts w:ascii="Times New Roman" w:cs="Times New Roman" w:eastAsia="Times New Roman" w:hAnsi="Times New Roman"/>
          <w:sz w:val="20"/>
          <w:szCs w:val="20"/>
          <w:color w:val="3D3D3D"/>
        </w:rPr>
        <w:t>or with</w:t>
      </w:r>
      <w:r>
        <w:rPr>
          <w:rFonts w:ascii="Times New Roman" w:cs="Times New Roman" w:eastAsia="Times New Roman" w:hAnsi="Times New Roman"/>
          <w:sz w:val="20"/>
          <w:szCs w:val="20"/>
          <w:color w:val="2D2D2D"/>
        </w:rPr>
        <w:t xml:space="preserve"> others, </w:t>
      </w:r>
      <w:r>
        <w:rPr>
          <w:rFonts w:ascii="Times New Roman" w:cs="Times New Roman" w:eastAsia="Times New Roman" w:hAnsi="Times New Roman"/>
          <w:sz w:val="20"/>
          <w:szCs w:val="20"/>
          <w:color w:val="3D3D3D"/>
        </w:rPr>
        <w:t>makes or conceives during the term of Executive's employment. Inventions</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D3D3D"/>
        </w:rPr>
        <w:t xml:space="preserve">which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Executive developed before </w:t>
      </w:r>
      <w:r>
        <w:rPr>
          <w:rFonts w:ascii="Times New Roman" w:cs="Times New Roman" w:eastAsia="Times New Roman" w:hAnsi="Times New Roman"/>
          <w:sz w:val="20"/>
          <w:szCs w:val="20"/>
          <w:color w:val="2D2D2D"/>
        </w:rPr>
        <w:t>the Executi</w:t>
      </w:r>
      <w:r>
        <w:rPr>
          <w:rFonts w:ascii="Times New Roman" w:cs="Times New Roman" w:eastAsia="Times New Roman" w:hAnsi="Times New Roman"/>
          <w:sz w:val="20"/>
          <w:szCs w:val="20"/>
          <w:color w:val="525252"/>
        </w:rPr>
        <w:t>ve</w:t>
      </w:r>
      <w:r>
        <w:rPr>
          <w:rFonts w:ascii="Times New Roman" w:cs="Times New Roman" w:eastAsia="Times New Roman" w:hAnsi="Times New Roman"/>
          <w:sz w:val="20"/>
          <w:szCs w:val="20"/>
          <w:color w:val="3D3D3D"/>
        </w:rPr>
        <w:t xml:space="preserve"> came </w:t>
      </w:r>
      <w:r>
        <w:rPr>
          <w:rFonts w:ascii="Times New Roman" w:cs="Times New Roman" w:eastAsia="Times New Roman" w:hAnsi="Times New Roman"/>
          <w:sz w:val="20"/>
          <w:szCs w:val="20"/>
          <w:color w:val="2D2D2D"/>
        </w:rPr>
        <w:t>to</w:t>
      </w:r>
      <w:r>
        <w:rPr>
          <w:rFonts w:ascii="Times New Roman" w:cs="Times New Roman" w:eastAsia="Times New Roman" w:hAnsi="Times New Roman"/>
          <w:sz w:val="20"/>
          <w:szCs w:val="20"/>
          <w:color w:val="3D3D3D"/>
        </w:rPr>
        <w:t xml:space="preserve"> work for the Company, if any</w:t>
      </w:r>
      <w:r>
        <w:rPr>
          <w:rFonts w:ascii="Times New Roman" w:cs="Times New Roman" w:eastAsia="Times New Roman" w:hAnsi="Times New Roman"/>
          <w:sz w:val="20"/>
          <w:szCs w:val="20"/>
          <w:color w:val="6B6B6B"/>
        </w:rPr>
        <w:t>,</w:t>
      </w:r>
      <w:r>
        <w:rPr>
          <w:rFonts w:ascii="Times New Roman" w:cs="Times New Roman" w:eastAsia="Times New Roman" w:hAnsi="Times New Roman"/>
          <w:sz w:val="20"/>
          <w:szCs w:val="20"/>
          <w:color w:val="3D3D3D"/>
        </w:rPr>
        <w:t xml:space="preserve"> are as follows: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4" w:lineRule="exact"/>
        <w:rPr>
          <w:rFonts w:ascii="Times New Roman" w:cs="Times New Roman" w:eastAsia="Times New Roman" w:hAnsi="Times New Roman"/>
          <w:sz w:val="20"/>
          <w:szCs w:val="20"/>
          <w:color w:val="auto"/>
        </w:rPr>
      </w:pPr>
    </w:p>
    <w:p>
      <w:pPr>
        <w:ind w:left="-1080" w:right="60" w:firstLine="1320"/>
        <w:spacing w:after="0" w:line="296" w:lineRule="auto"/>
        <w:tabs>
          <w:tab w:leader="none" w:pos="597"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3D3D3D"/>
        </w:rPr>
        <w:t xml:space="preserve">REMEDIES FOR VIOLATION OF RESTRICTIVE COVENANTS. </w:t>
      </w:r>
      <w:r>
        <w:rPr>
          <w:rFonts w:ascii="Times New Roman" w:cs="Times New Roman" w:eastAsia="Times New Roman" w:hAnsi="Times New Roman"/>
          <w:sz w:val="19"/>
          <w:szCs w:val="19"/>
          <w:color w:val="2D2D2D"/>
        </w:rPr>
        <w:t>The</w:t>
      </w:r>
      <w:r>
        <w:rPr>
          <w:rFonts w:ascii="Times New Roman" w:cs="Times New Roman" w:eastAsia="Times New Roman" w:hAnsi="Times New Roman"/>
          <w:sz w:val="19"/>
          <w:szCs w:val="19"/>
          <w:color w:val="3D3D3D"/>
        </w:rPr>
        <w:t xml:space="preserve"> Executive acknowledges that </w:t>
      </w:r>
      <w:r>
        <w:rPr>
          <w:rFonts w:ascii="Times New Roman" w:cs="Times New Roman" w:eastAsia="Times New Roman" w:hAnsi="Times New Roman"/>
          <w:sz w:val="19"/>
          <w:szCs w:val="19"/>
          <w:color w:val="2D2D2D"/>
        </w:rPr>
        <w:t>the</w:t>
      </w:r>
      <w:r>
        <w:rPr>
          <w:rFonts w:ascii="Times New Roman" w:cs="Times New Roman" w:eastAsia="Times New Roman" w:hAnsi="Times New Roman"/>
          <w:sz w:val="19"/>
          <w:szCs w:val="19"/>
          <w:color w:val="3D3D3D"/>
        </w:rPr>
        <w:t xml:space="preserve"> Company would suffer irreparable harm </w:t>
      </w:r>
      <w:r>
        <w:rPr>
          <w:rFonts w:ascii="Times New Roman" w:cs="Times New Roman" w:eastAsia="Times New Roman" w:hAnsi="Times New Roman"/>
          <w:sz w:val="19"/>
          <w:szCs w:val="19"/>
          <w:color w:val="2D2D2D"/>
        </w:rPr>
        <w:t>if</w:t>
      </w:r>
      <w:r>
        <w:rPr>
          <w:rFonts w:ascii="Times New Roman" w:cs="Times New Roman" w:eastAsia="Times New Roman" w:hAnsi="Times New Roman"/>
          <w:sz w:val="19"/>
          <w:szCs w:val="19"/>
          <w:color w:val="3D3D3D"/>
        </w:rPr>
        <w:t xml:space="preserve"> the Executive </w:t>
      </w:r>
      <w:r>
        <w:rPr>
          <w:rFonts w:ascii="Times New Roman" w:cs="Times New Roman" w:eastAsia="Times New Roman" w:hAnsi="Times New Roman"/>
          <w:sz w:val="19"/>
          <w:szCs w:val="19"/>
          <w:color w:val="2D2D2D"/>
        </w:rPr>
        <w:t>fails</w:t>
      </w:r>
      <w:r>
        <w:rPr>
          <w:rFonts w:ascii="Times New Roman" w:cs="Times New Roman" w:eastAsia="Times New Roman" w:hAnsi="Times New Roman"/>
          <w:sz w:val="19"/>
          <w:szCs w:val="19"/>
          <w:color w:val="3D3D3D"/>
        </w:rPr>
        <w:t xml:space="preserve"> to comply with the foregoing, and that </w:t>
      </w:r>
      <w:r>
        <w:rPr>
          <w:rFonts w:ascii="Times New Roman" w:cs="Times New Roman" w:eastAsia="Times New Roman" w:hAnsi="Times New Roman"/>
          <w:sz w:val="19"/>
          <w:szCs w:val="19"/>
          <w:color w:val="2D2D2D"/>
        </w:rPr>
        <w:t>the</w:t>
      </w:r>
      <w:r>
        <w:rPr>
          <w:rFonts w:ascii="Times New Roman" w:cs="Times New Roman" w:eastAsia="Times New Roman" w:hAnsi="Times New Roman"/>
          <w:sz w:val="19"/>
          <w:szCs w:val="19"/>
          <w:color w:val="3D3D3D"/>
        </w:rPr>
        <w:t xml:space="preserve"> Company would </w:t>
      </w:r>
      <w:r>
        <w:rPr>
          <w:rFonts w:ascii="Times New Roman" w:cs="Times New Roman" w:eastAsia="Times New Roman" w:hAnsi="Times New Roman"/>
          <w:sz w:val="19"/>
          <w:szCs w:val="19"/>
          <w:color w:val="2D2D2D"/>
        </w:rPr>
        <w:t>be</w:t>
      </w:r>
      <w:r>
        <w:rPr>
          <w:rFonts w:ascii="Times New Roman" w:cs="Times New Roman" w:eastAsia="Times New Roman" w:hAnsi="Times New Roman"/>
          <w:sz w:val="19"/>
          <w:szCs w:val="19"/>
          <w:color w:val="3D3D3D"/>
        </w:rPr>
        <w:t xml:space="preserve"> entitled </w:t>
      </w:r>
      <w:r>
        <w:rPr>
          <w:rFonts w:ascii="Times New Roman" w:cs="Times New Roman" w:eastAsia="Times New Roman" w:hAnsi="Times New Roman"/>
          <w:sz w:val="19"/>
          <w:szCs w:val="19"/>
          <w:color w:val="2D2D2D"/>
        </w:rPr>
        <w:t>to</w:t>
      </w:r>
      <w:r>
        <w:rPr>
          <w:rFonts w:ascii="Times New Roman" w:cs="Times New Roman" w:eastAsia="Times New Roman" w:hAnsi="Times New Roman"/>
          <w:sz w:val="19"/>
          <w:szCs w:val="19"/>
          <w:color w:val="3D3D3D"/>
        </w:rPr>
        <w:t xml:space="preserve"> any </w:t>
      </w:r>
      <w:r>
        <w:rPr>
          <w:rFonts w:ascii="Times New Roman" w:cs="Times New Roman" w:eastAsia="Times New Roman" w:hAnsi="Times New Roman"/>
          <w:sz w:val="19"/>
          <w:szCs w:val="19"/>
          <w:color w:val="2D2D2D"/>
        </w:rPr>
        <w:t>appropriate</w:t>
      </w:r>
      <w:r>
        <w:rPr>
          <w:rFonts w:ascii="Times New Roman" w:cs="Times New Roman" w:eastAsia="Times New Roman" w:hAnsi="Times New Roman"/>
          <w:sz w:val="19"/>
          <w:szCs w:val="19"/>
          <w:color w:val="3D3D3D"/>
        </w:rPr>
        <w:t xml:space="preserve"> relief, including money damages, injunctive and other equitable re</w:t>
      </w:r>
      <w:r>
        <w:rPr>
          <w:rFonts w:ascii="Times New Roman" w:cs="Times New Roman" w:eastAsia="Times New Roman" w:hAnsi="Times New Roman"/>
          <w:sz w:val="19"/>
          <w:szCs w:val="19"/>
          <w:color w:val="1C1C1C"/>
        </w:rPr>
        <w:t>l</w:t>
      </w:r>
      <w:r>
        <w:rPr>
          <w:rFonts w:ascii="Times New Roman" w:cs="Times New Roman" w:eastAsia="Times New Roman" w:hAnsi="Times New Roman"/>
          <w:sz w:val="19"/>
          <w:szCs w:val="19"/>
          <w:color w:val="3D3D3D"/>
        </w:rPr>
        <w:t>ief and attorneys' fees</w:t>
      </w:r>
      <w:r>
        <w:rPr>
          <w:rFonts w:ascii="Times New Roman" w:cs="Times New Roman" w:eastAsia="Times New Roman" w:hAnsi="Times New Roman"/>
          <w:sz w:val="19"/>
          <w:szCs w:val="19"/>
          <w:color w:val="6B6B6B"/>
        </w:rPr>
        <w:t>.</w:t>
      </w:r>
      <w:r>
        <w:rPr>
          <w:rFonts w:ascii="Times New Roman" w:cs="Times New Roman" w:eastAsia="Times New Roman" w:hAnsi="Times New Roman"/>
          <w:sz w:val="19"/>
          <w:szCs w:val="19"/>
          <w:color w:val="3D3D3D"/>
        </w:rPr>
        <w:t xml:space="preserve"> The Executive agrees </w:t>
      </w:r>
      <w:r>
        <w:rPr>
          <w:rFonts w:ascii="Times New Roman" w:cs="Times New Roman" w:eastAsia="Times New Roman" w:hAnsi="Times New Roman"/>
          <w:sz w:val="19"/>
          <w:szCs w:val="19"/>
          <w:color w:val="2D2D2D"/>
        </w:rPr>
        <w:t>that the</w:t>
      </w:r>
      <w:r>
        <w:rPr>
          <w:rFonts w:ascii="Times New Roman" w:cs="Times New Roman" w:eastAsia="Times New Roman" w:hAnsi="Times New Roman"/>
          <w:sz w:val="19"/>
          <w:szCs w:val="19"/>
          <w:color w:val="3D3D3D"/>
        </w:rPr>
        <w:t xml:space="preserve"> pendency of any claim </w:t>
      </w:r>
      <w:r>
        <w:rPr>
          <w:rFonts w:ascii="Times New Roman" w:cs="Times New Roman" w:eastAsia="Times New Roman" w:hAnsi="Times New Roman"/>
          <w:sz w:val="19"/>
          <w:szCs w:val="19"/>
          <w:color w:val="2D2D2D"/>
        </w:rPr>
        <w:t>whatsoever</w:t>
      </w:r>
      <w:r>
        <w:rPr>
          <w:rFonts w:ascii="Times New Roman" w:cs="Times New Roman" w:eastAsia="Times New Roman" w:hAnsi="Times New Roman"/>
          <w:sz w:val="19"/>
          <w:szCs w:val="19"/>
          <w:color w:val="3D3D3D"/>
        </w:rPr>
        <w:t xml:space="preserve"> against the Company shall not constitute a defense to </w:t>
      </w:r>
      <w:r>
        <w:rPr>
          <w:rFonts w:ascii="Times New Roman" w:cs="Times New Roman" w:eastAsia="Times New Roman" w:hAnsi="Times New Roman"/>
          <w:sz w:val="19"/>
          <w:szCs w:val="19"/>
          <w:color w:val="2D2D2D"/>
        </w:rPr>
        <w:t>the</w:t>
      </w:r>
      <w:r>
        <w:rPr>
          <w:rFonts w:ascii="Times New Roman" w:cs="Times New Roman" w:eastAsia="Times New Roman" w:hAnsi="Times New Roman"/>
          <w:sz w:val="19"/>
          <w:szCs w:val="19"/>
          <w:color w:val="3D3D3D"/>
        </w:rPr>
        <w:t xml:space="preserve"> enforcement of this Noncompetition Agreement by </w:t>
      </w:r>
      <w:r>
        <w:rPr>
          <w:rFonts w:ascii="Times New Roman" w:cs="Times New Roman" w:eastAsia="Times New Roman" w:hAnsi="Times New Roman"/>
          <w:sz w:val="19"/>
          <w:szCs w:val="19"/>
          <w:color w:val="525252"/>
        </w:rPr>
        <w:t>the</w:t>
      </w:r>
      <w:r>
        <w:rPr>
          <w:rFonts w:ascii="Times New Roman" w:cs="Times New Roman" w:eastAsia="Times New Roman" w:hAnsi="Times New Roman"/>
          <w:sz w:val="19"/>
          <w:szCs w:val="19"/>
          <w:color w:val="3D3D3D"/>
        </w:rPr>
        <w:t xml:space="preserve"> Company.</w:t>
      </w:r>
    </w:p>
    <w:p>
      <w:pPr>
        <w:spacing w:after="0" w:line="178" w:lineRule="exact"/>
        <w:rPr>
          <w:rFonts w:ascii="Times New Roman" w:cs="Times New Roman" w:eastAsia="Times New Roman" w:hAnsi="Times New Roman"/>
          <w:sz w:val="19"/>
          <w:szCs w:val="19"/>
          <w:color w:val="auto"/>
        </w:rPr>
      </w:pPr>
    </w:p>
    <w:p>
      <w:pPr>
        <w:ind w:left="-1080" w:firstLine="1306"/>
        <w:spacing w:after="0" w:line="275" w:lineRule="auto"/>
        <w:tabs>
          <w:tab w:leader="none" w:pos="58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 xml:space="preserve">SEVERABILITY. In the event that any one or more </w:t>
      </w:r>
      <w:r>
        <w:rPr>
          <w:rFonts w:ascii="Times New Roman" w:cs="Times New Roman" w:eastAsia="Times New Roman" w:hAnsi="Times New Roman"/>
          <w:sz w:val="20"/>
          <w:szCs w:val="20"/>
          <w:color w:val="525252"/>
        </w:rPr>
        <w:t>of</w:t>
      </w:r>
      <w:r>
        <w:rPr>
          <w:rFonts w:ascii="Times New Roman" w:cs="Times New Roman" w:eastAsia="Times New Roman" w:hAnsi="Times New Roman"/>
          <w:sz w:val="20"/>
          <w:szCs w:val="20"/>
          <w:color w:val="3D3D3D"/>
        </w:rPr>
        <w:t xml:space="preserve"> the provisions of these restrictive covenants shall be held to be invalid, illegal or unenforceable, the validity, </w:t>
      </w:r>
      <w:r>
        <w:rPr>
          <w:rFonts w:ascii="Times New Roman" w:cs="Times New Roman" w:eastAsia="Times New Roman" w:hAnsi="Times New Roman"/>
          <w:sz w:val="20"/>
          <w:szCs w:val="20"/>
          <w:color w:val="2D2D2D"/>
        </w:rPr>
        <w:t>legality</w:t>
      </w:r>
      <w:r>
        <w:rPr>
          <w:rFonts w:ascii="Times New Roman" w:cs="Times New Roman" w:eastAsia="Times New Roman" w:hAnsi="Times New Roman"/>
          <w:sz w:val="20"/>
          <w:szCs w:val="20"/>
          <w:color w:val="3D3D3D"/>
        </w:rPr>
        <w:t xml:space="preserve"> and enforceability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525252"/>
        </w:rPr>
        <w:t>remaini</w:t>
      </w:r>
      <w:r>
        <w:rPr>
          <w:rFonts w:ascii="Times New Roman" w:cs="Times New Roman" w:eastAsia="Times New Roman" w:hAnsi="Times New Roman"/>
          <w:sz w:val="20"/>
          <w:szCs w:val="20"/>
          <w:color w:val="2D2D2D"/>
        </w:rPr>
        <w:t>ng</w:t>
      </w:r>
      <w:r>
        <w:rPr>
          <w:rFonts w:ascii="Times New Roman" w:cs="Times New Roman" w:eastAsia="Times New Roman" w:hAnsi="Times New Roman"/>
          <w:sz w:val="20"/>
          <w:szCs w:val="20"/>
          <w:color w:val="3D3D3D"/>
        </w:rPr>
        <w:t xml:space="preserve"> provisions shall not </w:t>
      </w:r>
      <w:r>
        <w:rPr>
          <w:rFonts w:ascii="Times New Roman" w:cs="Times New Roman" w:eastAsia="Times New Roman" w:hAnsi="Times New Roman"/>
          <w:sz w:val="20"/>
          <w:szCs w:val="20"/>
          <w:color w:val="2D2D2D"/>
        </w:rPr>
        <w:t>in</w:t>
      </w:r>
      <w:r>
        <w:rPr>
          <w:rFonts w:ascii="Times New Roman" w:cs="Times New Roman" w:eastAsia="Times New Roman" w:hAnsi="Times New Roman"/>
          <w:sz w:val="20"/>
          <w:szCs w:val="20"/>
          <w:color w:val="3D3D3D"/>
        </w:rPr>
        <w:t xml:space="preserve"> any way be affected or impaired thereby. Moreover, if any one or more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provisions contained </w:t>
      </w:r>
      <w:r>
        <w:rPr>
          <w:rFonts w:ascii="Times New Roman" w:cs="Times New Roman" w:eastAsia="Times New Roman" w:hAnsi="Times New Roman"/>
          <w:sz w:val="20"/>
          <w:szCs w:val="20"/>
          <w:color w:val="2D2D2D"/>
        </w:rPr>
        <w:t>in these</w:t>
      </w:r>
      <w:r>
        <w:rPr>
          <w:rFonts w:ascii="Times New Roman" w:cs="Times New Roman" w:eastAsia="Times New Roman" w:hAnsi="Times New Roman"/>
          <w:sz w:val="20"/>
          <w:szCs w:val="20"/>
          <w:color w:val="3D3D3D"/>
        </w:rPr>
        <w:t xml:space="preserve"> restrictive covenants shall be held to be excessively broad as </w:t>
      </w:r>
      <w:r>
        <w:rPr>
          <w:rFonts w:ascii="Times New Roman" w:cs="Times New Roman" w:eastAsia="Times New Roman" w:hAnsi="Times New Roman"/>
          <w:sz w:val="20"/>
          <w:szCs w:val="20"/>
          <w:color w:val="2D2D2D"/>
        </w:rPr>
        <w:t>to</w:t>
      </w:r>
      <w:r>
        <w:rPr>
          <w:rFonts w:ascii="Times New Roman" w:cs="Times New Roman" w:eastAsia="Times New Roman" w:hAnsi="Times New Roman"/>
          <w:sz w:val="20"/>
          <w:szCs w:val="20"/>
          <w:color w:val="3D3D3D"/>
        </w:rPr>
        <w:t xml:space="preserve"> duration, </w:t>
      </w:r>
      <w:r>
        <w:rPr>
          <w:rFonts w:ascii="Times New Roman" w:cs="Times New Roman" w:eastAsia="Times New Roman" w:hAnsi="Times New Roman"/>
          <w:sz w:val="20"/>
          <w:szCs w:val="20"/>
          <w:color w:val="2D2D2D"/>
        </w:rPr>
        <w:t>activity</w:t>
      </w:r>
      <w:r>
        <w:rPr>
          <w:rFonts w:ascii="Times New Roman" w:cs="Times New Roman" w:eastAsia="Times New Roman" w:hAnsi="Times New Roman"/>
          <w:sz w:val="20"/>
          <w:szCs w:val="20"/>
          <w:color w:val="3D3D3D"/>
        </w:rPr>
        <w:t xml:space="preserve"> or subject, </w:t>
      </w:r>
      <w:r>
        <w:rPr>
          <w:rFonts w:ascii="Times New Roman" w:cs="Times New Roman" w:eastAsia="Times New Roman" w:hAnsi="Times New Roman"/>
          <w:sz w:val="20"/>
          <w:szCs w:val="20"/>
          <w:color w:val="2D2D2D"/>
        </w:rPr>
        <w:t>the parties</w:t>
      </w:r>
      <w:r>
        <w:rPr>
          <w:rFonts w:ascii="Times New Roman" w:cs="Times New Roman" w:eastAsia="Times New Roman" w:hAnsi="Times New Roman"/>
          <w:sz w:val="20"/>
          <w:szCs w:val="20"/>
          <w:color w:val="3D3D3D"/>
        </w:rPr>
        <w:t xml:space="preserve"> authorize the Court in which </w:t>
      </w:r>
      <w:r>
        <w:rPr>
          <w:rFonts w:ascii="Times New Roman" w:cs="Times New Roman" w:eastAsia="Times New Roman" w:hAnsi="Times New Roman"/>
          <w:sz w:val="20"/>
          <w:szCs w:val="20"/>
          <w:color w:val="2D2D2D"/>
        </w:rPr>
        <w:t>such</w:t>
      </w:r>
      <w:r>
        <w:rPr>
          <w:rFonts w:ascii="Times New Roman" w:cs="Times New Roman" w:eastAsia="Times New Roman" w:hAnsi="Times New Roman"/>
          <w:sz w:val="20"/>
          <w:szCs w:val="20"/>
          <w:color w:val="3D3D3D"/>
        </w:rPr>
        <w:t xml:space="preserve"> action </w:t>
      </w:r>
      <w:r>
        <w:rPr>
          <w:rFonts w:ascii="Times New Roman" w:cs="Times New Roman" w:eastAsia="Times New Roman" w:hAnsi="Times New Roman"/>
          <w:sz w:val="20"/>
          <w:szCs w:val="20"/>
          <w:color w:val="2D2D2D"/>
        </w:rPr>
        <w:t>is pending</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525252"/>
        </w:rPr>
        <w:t>to</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modify</w:t>
      </w:r>
      <w:r>
        <w:rPr>
          <w:rFonts w:ascii="Times New Roman" w:cs="Times New Roman" w:eastAsia="Times New Roman" w:hAnsi="Times New Roman"/>
          <w:sz w:val="20"/>
          <w:szCs w:val="20"/>
          <w:color w:val="3D3D3D"/>
        </w:rPr>
        <w:t xml:space="preserve"> said covenants and enforce </w:t>
      </w:r>
      <w:r>
        <w:rPr>
          <w:rFonts w:ascii="Times New Roman" w:cs="Times New Roman" w:eastAsia="Times New Roman" w:hAnsi="Times New Roman"/>
          <w:sz w:val="20"/>
          <w:szCs w:val="20"/>
          <w:color w:val="2D2D2D"/>
        </w:rPr>
        <w:t>them</w:t>
      </w:r>
      <w:r>
        <w:rPr>
          <w:rFonts w:ascii="Times New Roman" w:cs="Times New Roman" w:eastAsia="Times New Roman" w:hAnsi="Times New Roman"/>
          <w:sz w:val="20"/>
          <w:szCs w:val="20"/>
          <w:color w:val="3D3D3D"/>
        </w:rPr>
        <w:t xml:space="preserve"> to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extent that the Court </w:t>
      </w:r>
      <w:r>
        <w:rPr>
          <w:rFonts w:ascii="Times New Roman" w:cs="Times New Roman" w:eastAsia="Times New Roman" w:hAnsi="Times New Roman"/>
          <w:sz w:val="20"/>
          <w:szCs w:val="20"/>
          <w:color w:val="2D2D2D"/>
        </w:rPr>
        <w:t>deems</w:t>
      </w:r>
      <w:r>
        <w:rPr>
          <w:rFonts w:ascii="Times New Roman" w:cs="Times New Roman" w:eastAsia="Times New Roman" w:hAnsi="Times New Roman"/>
          <w:sz w:val="20"/>
          <w:szCs w:val="20"/>
          <w:color w:val="3D3D3D"/>
        </w:rPr>
        <w:t xml:space="preserve"> reasonable</w:t>
      </w:r>
      <w:r>
        <w:rPr>
          <w:rFonts w:ascii="Times New Roman" w:cs="Times New Roman" w:eastAsia="Times New Roman" w:hAnsi="Times New Roman"/>
          <w:sz w:val="20"/>
          <w:szCs w:val="20"/>
          <w:color w:val="1C1C1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-1781810</wp:posOffset>
            </wp:positionV>
            <wp:extent cx="5797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0180"/>
          </w:cols>
          <w:pgMar w:left="1440" w:top="441" w:right="279" w:bottom="1440" w:gutter="0" w:footer="0" w:header="0"/>
        </w:sectPr>
      </w:pPr>
    </w:p>
    <w:bookmarkStart w:id="121" w:name="page122"/>
    <w:bookmarkEnd w:id="121"/>
    <w:p>
      <w:pPr>
        <w:ind w:left="629" w:hanging="629"/>
        <w:spacing w:after="0"/>
        <w:tabs>
          <w:tab w:leader="none" w:pos="62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TERMINATION</w:t>
      </w:r>
      <w:r>
        <w:rPr>
          <w:rFonts w:ascii="Times New Roman" w:cs="Times New Roman" w:eastAsia="Times New Roman" w:hAnsi="Times New Roman"/>
          <w:sz w:val="20"/>
          <w:szCs w:val="20"/>
          <w:color w:val="828282"/>
        </w:rPr>
        <w:t>.</w:t>
      </w:r>
    </w:p>
    <w:p>
      <w:pPr>
        <w:spacing w:after="0" w:line="242" w:lineRule="exact"/>
        <w:rPr>
          <w:rFonts w:ascii="Times New Roman" w:cs="Times New Roman" w:eastAsia="Times New Roman" w:hAnsi="Times New Roman"/>
          <w:sz w:val="20"/>
          <w:szCs w:val="20"/>
          <w:color w:val="auto"/>
        </w:rPr>
      </w:pPr>
    </w:p>
    <w:p>
      <w:pPr>
        <w:jc w:val="both"/>
        <w:ind w:left="-671" w:right="220" w:firstLine="1320"/>
        <w:spacing w:after="0" w:line="275" w:lineRule="auto"/>
        <w:tabs>
          <w:tab w:leader="none" w:pos="103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 xml:space="preserve">DEATH. This Agreement shall terminate upon the death of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Executive, provided, however, </w:t>
      </w:r>
      <w:r>
        <w:rPr>
          <w:rFonts w:ascii="Times New Roman" w:cs="Times New Roman" w:eastAsia="Times New Roman" w:hAnsi="Times New Roman"/>
          <w:sz w:val="20"/>
          <w:szCs w:val="20"/>
          <w:color w:val="282828"/>
        </w:rPr>
        <w:t>that</w:t>
      </w:r>
      <w:r>
        <w:rPr>
          <w:rFonts w:ascii="Times New Roman" w:cs="Times New Roman" w:eastAsia="Times New Roman" w:hAnsi="Times New Roman"/>
          <w:sz w:val="20"/>
          <w:szCs w:val="20"/>
          <w:color w:val="3B3B3B"/>
        </w:rPr>
        <w:t xml:space="preserve"> for purposes of the payment of Base Salary </w:t>
      </w:r>
      <w:r>
        <w:rPr>
          <w:rFonts w:ascii="Times New Roman" w:cs="Times New Roman" w:eastAsia="Times New Roman" w:hAnsi="Times New Roman"/>
          <w:sz w:val="20"/>
          <w:szCs w:val="20"/>
          <w:color w:val="4B4B4B"/>
        </w:rPr>
        <w:t>to</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4B4B4B"/>
        </w:rPr>
        <w:t>Exec</w:t>
      </w:r>
      <w:r>
        <w:rPr>
          <w:rFonts w:ascii="Times New Roman" w:cs="Times New Roman" w:eastAsia="Times New Roman" w:hAnsi="Times New Roman"/>
          <w:sz w:val="20"/>
          <w:szCs w:val="20"/>
          <w:color w:val="282828"/>
        </w:rPr>
        <w:t>ut</w:t>
      </w:r>
      <w:r>
        <w:rPr>
          <w:rFonts w:ascii="Times New Roman" w:cs="Times New Roman" w:eastAsia="Times New Roman" w:hAnsi="Times New Roman"/>
          <w:sz w:val="20"/>
          <w:szCs w:val="20"/>
          <w:color w:val="4B4B4B"/>
        </w:rPr>
        <w:t>ive,</w:t>
      </w:r>
      <w:r>
        <w:rPr>
          <w:rFonts w:ascii="Times New Roman" w:cs="Times New Roman" w:eastAsia="Times New Roman" w:hAnsi="Times New Roman"/>
          <w:sz w:val="20"/>
          <w:szCs w:val="20"/>
          <w:color w:val="3B3B3B"/>
        </w:rPr>
        <w:t xml:space="preserve"> the death of </w:t>
      </w:r>
      <w:r>
        <w:rPr>
          <w:rFonts w:ascii="Times New Roman" w:cs="Times New Roman" w:eastAsia="Times New Roman" w:hAnsi="Times New Roman"/>
          <w:sz w:val="20"/>
          <w:szCs w:val="20"/>
          <w:color w:val="282828"/>
        </w:rPr>
        <w:t>th</w:t>
      </w:r>
      <w:r>
        <w:rPr>
          <w:rFonts w:ascii="Times New Roman" w:cs="Times New Roman" w:eastAsia="Times New Roman" w:hAnsi="Times New Roman"/>
          <w:sz w:val="20"/>
          <w:szCs w:val="20"/>
          <w:color w:val="4B4B4B"/>
        </w:rPr>
        <w:t>e</w:t>
      </w:r>
      <w:r>
        <w:rPr>
          <w:rFonts w:ascii="Times New Roman" w:cs="Times New Roman" w:eastAsia="Times New Roman" w:hAnsi="Times New Roman"/>
          <w:sz w:val="20"/>
          <w:szCs w:val="20"/>
          <w:color w:val="3B3B3B"/>
        </w:rPr>
        <w:t xml:space="preserve"> Executive shall be deemed to have occurred </w:t>
      </w:r>
      <w:r>
        <w:rPr>
          <w:rFonts w:ascii="Times New Roman" w:cs="Times New Roman" w:eastAsia="Times New Roman" w:hAnsi="Times New Roman"/>
          <w:sz w:val="20"/>
          <w:szCs w:val="20"/>
          <w:color w:val="4B4B4B"/>
        </w:rPr>
        <w:t>ninety</w:t>
      </w:r>
      <w:r>
        <w:rPr>
          <w:rFonts w:ascii="Times New Roman" w:cs="Times New Roman" w:eastAsia="Times New Roman" w:hAnsi="Times New Roman"/>
          <w:sz w:val="20"/>
          <w:szCs w:val="20"/>
          <w:color w:val="3B3B3B"/>
        </w:rPr>
        <w:t xml:space="preserve"> (90) days from the last day of the month in which the death of the Executive shall have occurred</w:t>
      </w:r>
      <w:r>
        <w:rPr>
          <w:rFonts w:ascii="Times New Roman" w:cs="Times New Roman" w:eastAsia="Times New Roman" w:hAnsi="Times New Roman"/>
          <w:sz w:val="20"/>
          <w:szCs w:val="20"/>
          <w:color w:val="6B6B6B"/>
        </w:rPr>
        <w:t>.</w:t>
      </w:r>
    </w:p>
    <w:p>
      <w:pPr>
        <w:spacing w:after="0" w:line="181" w:lineRule="exact"/>
        <w:rPr>
          <w:rFonts w:ascii="Times New Roman" w:cs="Times New Roman" w:eastAsia="Times New Roman" w:hAnsi="Times New Roman"/>
          <w:sz w:val="20"/>
          <w:szCs w:val="20"/>
          <w:color w:val="auto"/>
        </w:rPr>
      </w:pPr>
    </w:p>
    <w:p>
      <w:pPr>
        <w:ind w:left="-651" w:right="300" w:firstLine="1300"/>
        <w:spacing w:after="0" w:line="297" w:lineRule="auto"/>
        <w:tabs>
          <w:tab w:leader="none" w:pos="1056" w:val="left"/>
        </w:tabs>
        <w:numPr>
          <w:ilvl w:val="2"/>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 xml:space="preserve">DISABILITY. Executive's employment and all obligations of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Company hereunder shall terminate </w:t>
      </w:r>
      <w:r>
        <w:rPr>
          <w:rFonts w:ascii="Times New Roman" w:cs="Times New Roman" w:eastAsia="Times New Roman" w:hAnsi="Times New Roman"/>
          <w:sz w:val="20"/>
          <w:szCs w:val="20"/>
          <w:color w:val="282828"/>
        </w:rPr>
        <w:t>upon</w:t>
      </w:r>
      <w:r>
        <w:rPr>
          <w:rFonts w:ascii="Times New Roman" w:cs="Times New Roman" w:eastAsia="Times New Roman" w:hAnsi="Times New Roman"/>
          <w:sz w:val="20"/>
          <w:szCs w:val="20"/>
          <w:color w:val="3B3B3B"/>
        </w:rPr>
        <w:t xml:space="preserve"> a finding that the Executive is disabled under the Company's </w:t>
      </w:r>
      <w:r>
        <w:rPr>
          <w:rFonts w:ascii="Times New Roman" w:cs="Times New Roman" w:eastAsia="Times New Roman" w:hAnsi="Times New Roman"/>
          <w:sz w:val="20"/>
          <w:szCs w:val="20"/>
          <w:color w:val="282828"/>
        </w:rPr>
        <w:t>group</w:t>
      </w:r>
      <w:r>
        <w:rPr>
          <w:rFonts w:ascii="Times New Roman" w:cs="Times New Roman" w:eastAsia="Times New Roman" w:hAnsi="Times New Roman"/>
          <w:sz w:val="20"/>
          <w:szCs w:val="20"/>
          <w:color w:val="3B3B3B"/>
        </w:rPr>
        <w:t xml:space="preserve"> long </w:t>
      </w:r>
      <w:r>
        <w:rPr>
          <w:rFonts w:ascii="Times New Roman" w:cs="Times New Roman" w:eastAsia="Times New Roman" w:hAnsi="Times New Roman"/>
          <w:sz w:val="20"/>
          <w:szCs w:val="20"/>
          <w:color w:val="282828"/>
        </w:rPr>
        <w:t>term disabilit</w:t>
      </w:r>
      <w:r>
        <w:rPr>
          <w:rFonts w:ascii="Times New Roman" w:cs="Times New Roman" w:eastAsia="Times New Roman" w:hAnsi="Times New Roman"/>
          <w:sz w:val="20"/>
          <w:szCs w:val="20"/>
          <w:color w:val="4B4B4B"/>
        </w:rPr>
        <w:t>y</w:t>
      </w:r>
      <w:r>
        <w:rPr>
          <w:rFonts w:ascii="Times New Roman" w:cs="Times New Roman" w:eastAsia="Times New Roman" w:hAnsi="Times New Roman"/>
          <w:sz w:val="20"/>
          <w:szCs w:val="20"/>
          <w:color w:val="3B3B3B"/>
        </w:rPr>
        <w:t xml:space="preserve"> plan.</w:t>
      </w:r>
    </w:p>
    <w:p>
      <w:pPr>
        <w:spacing w:after="0" w:line="173" w:lineRule="exact"/>
        <w:rPr>
          <w:rFonts w:ascii="Times New Roman" w:cs="Times New Roman" w:eastAsia="Times New Roman" w:hAnsi="Times New Roman"/>
          <w:sz w:val="20"/>
          <w:szCs w:val="20"/>
          <w:color w:val="auto"/>
        </w:rPr>
      </w:pPr>
    </w:p>
    <w:p>
      <w:pPr>
        <w:ind w:left="-671" w:firstLine="1320"/>
        <w:spacing w:after="0" w:line="270" w:lineRule="auto"/>
        <w:tabs>
          <w:tab w:leader="none" w:pos="1038" w:val="left"/>
        </w:tabs>
        <w:numPr>
          <w:ilvl w:val="2"/>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 xml:space="preserve">CAUSE. The Company may terminate the Executive's employment hereunder for Cause by giving written </w:t>
      </w:r>
      <w:r>
        <w:rPr>
          <w:rFonts w:ascii="Times New Roman" w:cs="Times New Roman" w:eastAsia="Times New Roman" w:hAnsi="Times New Roman"/>
          <w:sz w:val="20"/>
          <w:szCs w:val="20"/>
          <w:color w:val="282828"/>
        </w:rPr>
        <w:t>Notice</w:t>
      </w:r>
      <w:r>
        <w:rPr>
          <w:rFonts w:ascii="Times New Roman" w:cs="Times New Roman" w:eastAsia="Times New Roman" w:hAnsi="Times New Roman"/>
          <w:sz w:val="20"/>
          <w:szCs w:val="20"/>
          <w:color w:val="3B3B3B"/>
        </w:rPr>
        <w:t xml:space="preserve"> of Termination to the Executive</w:t>
      </w:r>
      <w:r>
        <w:rPr>
          <w:rFonts w:ascii="Times New Roman" w:cs="Times New Roman" w:eastAsia="Times New Roman" w:hAnsi="Times New Roman"/>
          <w:sz w:val="20"/>
          <w:szCs w:val="20"/>
          <w:color w:val="6B6B6B"/>
        </w:rPr>
        <w:t>.</w:t>
      </w:r>
      <w:r>
        <w:rPr>
          <w:rFonts w:ascii="Times New Roman" w:cs="Times New Roman" w:eastAsia="Times New Roman" w:hAnsi="Times New Roman"/>
          <w:sz w:val="20"/>
          <w:szCs w:val="20"/>
          <w:color w:val="3B3B3B"/>
        </w:rPr>
        <w:t xml:space="preserve"> For the purposes of </w:t>
      </w:r>
      <w:r>
        <w:rPr>
          <w:rFonts w:ascii="Times New Roman" w:cs="Times New Roman" w:eastAsia="Times New Roman" w:hAnsi="Times New Roman"/>
          <w:sz w:val="20"/>
          <w:szCs w:val="20"/>
          <w:color w:val="4B4B4B"/>
        </w:rPr>
        <w:t>t</w:t>
      </w:r>
      <w:r>
        <w:rPr>
          <w:rFonts w:ascii="Times New Roman" w:cs="Times New Roman" w:eastAsia="Times New Roman" w:hAnsi="Times New Roman"/>
          <w:sz w:val="20"/>
          <w:szCs w:val="20"/>
          <w:color w:val="282828"/>
        </w:rPr>
        <w:t>his</w:t>
      </w:r>
      <w:r>
        <w:rPr>
          <w:rFonts w:ascii="Times New Roman" w:cs="Times New Roman" w:eastAsia="Times New Roman" w:hAnsi="Times New Roman"/>
          <w:sz w:val="20"/>
          <w:szCs w:val="20"/>
          <w:color w:val="3B3B3B"/>
        </w:rPr>
        <w:t xml:space="preserve"> Agreement, the Company shall have "Cause" to </w:t>
      </w:r>
      <w:r>
        <w:rPr>
          <w:rFonts w:ascii="Times New Roman" w:cs="Times New Roman" w:eastAsia="Times New Roman" w:hAnsi="Times New Roman"/>
          <w:sz w:val="20"/>
          <w:szCs w:val="20"/>
          <w:color w:val="282828"/>
        </w:rPr>
        <w:t>terminate</w:t>
      </w:r>
      <w:r>
        <w:rPr>
          <w:rFonts w:ascii="Times New Roman" w:cs="Times New Roman" w:eastAsia="Times New Roman" w:hAnsi="Times New Roman"/>
          <w:sz w:val="20"/>
          <w:szCs w:val="20"/>
          <w:color w:val="3B3B3B"/>
        </w:rPr>
        <w:t xml:space="preserve"> the Executive's employment hereunder </w:t>
      </w:r>
      <w:r>
        <w:rPr>
          <w:rFonts w:ascii="Times New Roman" w:cs="Times New Roman" w:eastAsia="Times New Roman" w:hAnsi="Times New Roman"/>
          <w:sz w:val="20"/>
          <w:szCs w:val="20"/>
          <w:color w:val="4B4B4B"/>
        </w:rPr>
        <w:t>upon:</w:t>
      </w:r>
      <w:r>
        <w:rPr>
          <w:rFonts w:ascii="Times New Roman" w:cs="Times New Roman" w:eastAsia="Times New Roman" w:hAnsi="Times New Roman"/>
          <w:sz w:val="20"/>
          <w:szCs w:val="20"/>
          <w:color w:val="3B3B3B"/>
        </w:rPr>
        <w:t xml:space="preserve"> (i) the conviction of Executive of, or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entry of a plea of guilty, first </w:t>
      </w:r>
      <w:r>
        <w:rPr>
          <w:rFonts w:ascii="Times New Roman" w:cs="Times New Roman" w:eastAsia="Times New Roman" w:hAnsi="Times New Roman"/>
          <w:sz w:val="20"/>
          <w:szCs w:val="20"/>
          <w:color w:val="282828"/>
        </w:rPr>
        <w:t>offe</w:t>
      </w:r>
      <w:r>
        <w:rPr>
          <w:rFonts w:ascii="Times New Roman" w:cs="Times New Roman" w:eastAsia="Times New Roman" w:hAnsi="Times New Roman"/>
          <w:sz w:val="20"/>
          <w:szCs w:val="20"/>
          <w:color w:val="4B4B4B"/>
        </w:rPr>
        <w:t>nder</w:t>
      </w:r>
      <w:r>
        <w:rPr>
          <w:rFonts w:ascii="Times New Roman" w:cs="Times New Roman" w:eastAsia="Times New Roman" w:hAnsi="Times New Roman"/>
          <w:sz w:val="20"/>
          <w:szCs w:val="20"/>
          <w:color w:val="3B3B3B"/>
        </w:rPr>
        <w:t xml:space="preserve"> probation before judgment, or </w:t>
      </w:r>
      <w:r>
        <w:rPr>
          <w:rFonts w:ascii="Times New Roman" w:cs="Times New Roman" w:eastAsia="Times New Roman" w:hAnsi="Times New Roman"/>
          <w:sz w:val="20"/>
          <w:szCs w:val="20"/>
          <w:i w:val="1"/>
          <w:iCs w:val="1"/>
          <w:color w:val="3B3B3B"/>
        </w:rPr>
        <w:t>nolo</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i w:val="1"/>
          <w:iCs w:val="1"/>
          <w:color w:val="282828"/>
        </w:rPr>
        <w:t xml:space="preserve">contendere </w:t>
      </w:r>
      <w:r>
        <w:rPr>
          <w:rFonts w:ascii="Times New Roman" w:cs="Times New Roman" w:eastAsia="Times New Roman" w:hAnsi="Times New Roman"/>
          <w:sz w:val="20"/>
          <w:szCs w:val="20"/>
          <w:color w:val="3B3B3B"/>
        </w:rPr>
        <w:t>by Executive</w:t>
      </w:r>
      <w:r>
        <w:rPr>
          <w:rFonts w:ascii="Times New Roman" w:cs="Times New Roman" w:eastAsia="Times New Roman" w:hAnsi="Times New Roman"/>
          <w:sz w:val="20"/>
          <w:szCs w:val="20"/>
          <w:i w:val="1"/>
          <w:iCs w:val="1"/>
          <w:color w:val="282828"/>
        </w:rPr>
        <w:t xml:space="preserve">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i w:val="1"/>
          <w:iCs w:val="1"/>
          <w:color w:val="282828"/>
        </w:rPr>
        <w:t xml:space="preserve"> </w:t>
      </w:r>
      <w:r>
        <w:rPr>
          <w:rFonts w:ascii="Times New Roman" w:cs="Times New Roman" w:eastAsia="Times New Roman" w:hAnsi="Times New Roman"/>
          <w:sz w:val="20"/>
          <w:szCs w:val="20"/>
          <w:color w:val="3B3B3B"/>
        </w:rPr>
        <w:t>any felony</w:t>
      </w:r>
      <w:r>
        <w:rPr>
          <w:rFonts w:ascii="Times New Roman" w:cs="Times New Roman" w:eastAsia="Times New Roman" w:hAnsi="Times New Roman"/>
          <w:sz w:val="20"/>
          <w:szCs w:val="20"/>
          <w:color w:val="6B6B6B"/>
        </w:rPr>
        <w:t>;</w:t>
      </w:r>
      <w:r>
        <w:rPr>
          <w:rFonts w:ascii="Times New Roman" w:cs="Times New Roman" w:eastAsia="Times New Roman" w:hAnsi="Times New Roman"/>
          <w:sz w:val="20"/>
          <w:szCs w:val="20"/>
          <w:i w:val="1"/>
          <w:iCs w:val="1"/>
          <w:color w:val="282828"/>
        </w:rPr>
        <w:t xml:space="preserve"> </w:t>
      </w:r>
      <w:r>
        <w:rPr>
          <w:rFonts w:ascii="Times New Roman" w:cs="Times New Roman" w:eastAsia="Times New Roman" w:hAnsi="Times New Roman"/>
          <w:sz w:val="20"/>
          <w:szCs w:val="20"/>
          <w:color w:val="3B3B3B"/>
        </w:rPr>
        <w:t>(ii) fraud,</w:t>
      </w:r>
      <w:r>
        <w:rPr>
          <w:rFonts w:ascii="Times New Roman" w:cs="Times New Roman" w:eastAsia="Times New Roman" w:hAnsi="Times New Roman"/>
          <w:sz w:val="20"/>
          <w:szCs w:val="20"/>
          <w:i w:val="1"/>
          <w:iCs w:val="1"/>
          <w:color w:val="282828"/>
        </w:rPr>
        <w:t xml:space="preserve"> </w:t>
      </w:r>
      <w:r>
        <w:rPr>
          <w:rFonts w:ascii="Times New Roman" w:cs="Times New Roman" w:eastAsia="Times New Roman" w:hAnsi="Times New Roman"/>
          <w:sz w:val="20"/>
          <w:szCs w:val="20"/>
          <w:color w:val="282828"/>
        </w:rPr>
        <w:t>misappropriation</w:t>
      </w:r>
      <w:r>
        <w:rPr>
          <w:rFonts w:ascii="Times New Roman" w:cs="Times New Roman" w:eastAsia="Times New Roman" w:hAnsi="Times New Roman"/>
          <w:sz w:val="20"/>
          <w:szCs w:val="20"/>
          <w:i w:val="1"/>
          <w:iCs w:val="1"/>
          <w:color w:val="282828"/>
        </w:rPr>
        <w:t xml:space="preserve"> </w:t>
      </w:r>
      <w:r>
        <w:rPr>
          <w:rFonts w:ascii="Times New Roman" w:cs="Times New Roman" w:eastAsia="Times New Roman" w:hAnsi="Times New Roman"/>
          <w:sz w:val="20"/>
          <w:szCs w:val="20"/>
          <w:color w:val="3B3B3B"/>
        </w:rPr>
        <w:t>or embezzlement by Executive; (iii)</w:t>
      </w:r>
      <w:r>
        <w:rPr>
          <w:rFonts w:ascii="Times New Roman" w:cs="Times New Roman" w:eastAsia="Times New Roman" w:hAnsi="Times New Roman"/>
          <w:sz w:val="20"/>
          <w:szCs w:val="20"/>
          <w:i w:val="1"/>
          <w:iCs w:val="1"/>
          <w:color w:val="282828"/>
        </w:rPr>
        <w:t xml:space="preserve"> </w:t>
      </w:r>
      <w:r>
        <w:rPr>
          <w:rFonts w:ascii="Times New Roman" w:cs="Times New Roman" w:eastAsia="Times New Roman" w:hAnsi="Times New Roman"/>
          <w:sz w:val="20"/>
          <w:szCs w:val="20"/>
          <w:color w:val="4B4B4B"/>
        </w:rPr>
        <w:t>Execu</w:t>
      </w:r>
      <w:r>
        <w:rPr>
          <w:rFonts w:ascii="Times New Roman" w:cs="Times New Roman" w:eastAsia="Times New Roman" w:hAnsi="Times New Roman"/>
          <w:sz w:val="20"/>
          <w:szCs w:val="20"/>
          <w:color w:val="282828"/>
        </w:rPr>
        <w:t>tive's</w:t>
      </w:r>
      <w:r>
        <w:rPr>
          <w:rFonts w:ascii="Times New Roman" w:cs="Times New Roman" w:eastAsia="Times New Roman" w:hAnsi="Times New Roman"/>
          <w:sz w:val="20"/>
          <w:szCs w:val="20"/>
          <w:i w:val="1"/>
          <w:iCs w:val="1"/>
          <w:color w:val="282828"/>
        </w:rPr>
        <w:t xml:space="preserve"> </w:t>
      </w:r>
      <w:r>
        <w:rPr>
          <w:rFonts w:ascii="Times New Roman" w:cs="Times New Roman" w:eastAsia="Times New Roman" w:hAnsi="Times New Roman"/>
          <w:sz w:val="20"/>
          <w:szCs w:val="20"/>
          <w:color w:val="3B3B3B"/>
        </w:rPr>
        <w:t>willful failure or gross</w:t>
      </w:r>
      <w:r>
        <w:rPr>
          <w:rFonts w:ascii="Times New Roman" w:cs="Times New Roman" w:eastAsia="Times New Roman" w:hAnsi="Times New Roman"/>
          <w:sz w:val="20"/>
          <w:szCs w:val="20"/>
          <w:i w:val="1"/>
          <w:iCs w:val="1"/>
          <w:color w:val="282828"/>
        </w:rPr>
        <w:t xml:space="preserve"> </w:t>
      </w:r>
      <w:r>
        <w:rPr>
          <w:rFonts w:ascii="Times New Roman" w:cs="Times New Roman" w:eastAsia="Times New Roman" w:hAnsi="Times New Roman"/>
          <w:sz w:val="20"/>
          <w:szCs w:val="20"/>
          <w:color w:val="3B3B3B"/>
        </w:rPr>
        <w:t xml:space="preserve">negligence </w:t>
      </w:r>
      <w:r>
        <w:rPr>
          <w:rFonts w:ascii="Times New Roman" w:cs="Times New Roman" w:eastAsia="Times New Roman" w:hAnsi="Times New Roman"/>
          <w:sz w:val="20"/>
          <w:szCs w:val="20"/>
          <w:color w:val="4B4B4B"/>
        </w:rPr>
        <w:t>in</w:t>
      </w:r>
      <w:r>
        <w:rPr>
          <w:rFonts w:ascii="Times New Roman" w:cs="Times New Roman" w:eastAsia="Times New Roman" w:hAnsi="Times New Roman"/>
          <w:sz w:val="20"/>
          <w:szCs w:val="20"/>
          <w:color w:val="3B3B3B"/>
        </w:rPr>
        <w:t xml:space="preserve"> the performance of his assigned </w:t>
      </w:r>
      <w:r>
        <w:rPr>
          <w:rFonts w:ascii="Times New Roman" w:cs="Times New Roman" w:eastAsia="Times New Roman" w:hAnsi="Times New Roman"/>
          <w:sz w:val="20"/>
          <w:szCs w:val="20"/>
          <w:color w:val="282828"/>
        </w:rPr>
        <w:t>duties</w:t>
      </w:r>
      <w:r>
        <w:rPr>
          <w:rFonts w:ascii="Times New Roman" w:cs="Times New Roman" w:eastAsia="Times New Roman" w:hAnsi="Times New Roman"/>
          <w:sz w:val="20"/>
          <w:szCs w:val="20"/>
          <w:color w:val="3B3B3B"/>
        </w:rPr>
        <w:t xml:space="preserve"> for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4B4B4B"/>
        </w:rPr>
        <w:t>Co</w:t>
      </w:r>
      <w:r>
        <w:rPr>
          <w:rFonts w:ascii="Times New Roman" w:cs="Times New Roman" w:eastAsia="Times New Roman" w:hAnsi="Times New Roman"/>
          <w:sz w:val="20"/>
          <w:szCs w:val="20"/>
          <w:color w:val="282828"/>
        </w:rPr>
        <w:t>mpany,</w:t>
      </w:r>
      <w:r>
        <w:rPr>
          <w:rFonts w:ascii="Times New Roman" w:cs="Times New Roman" w:eastAsia="Times New Roman" w:hAnsi="Times New Roman"/>
          <w:sz w:val="20"/>
          <w:szCs w:val="20"/>
          <w:color w:val="3B3B3B"/>
        </w:rPr>
        <w:t xml:space="preserve">which failure or negligence continues for more than or was not remedied within thirty </w:t>
      </w:r>
      <w:r>
        <w:rPr>
          <w:rFonts w:ascii="Times New Roman" w:cs="Times New Roman" w:eastAsia="Times New Roman" w:hAnsi="Times New Roman"/>
          <w:sz w:val="20"/>
          <w:szCs w:val="20"/>
          <w:color w:val="282828"/>
        </w:rPr>
        <w:t>(30)</w:t>
      </w:r>
      <w:r>
        <w:rPr>
          <w:rFonts w:ascii="Times New Roman" w:cs="Times New Roman" w:eastAsia="Times New Roman" w:hAnsi="Times New Roman"/>
          <w:sz w:val="20"/>
          <w:szCs w:val="20"/>
          <w:color w:val="3B3B3B"/>
        </w:rPr>
        <w:t xml:space="preserve"> calendar days </w:t>
      </w:r>
      <w:r>
        <w:rPr>
          <w:rFonts w:ascii="Times New Roman" w:cs="Times New Roman" w:eastAsia="Times New Roman" w:hAnsi="Times New Roman"/>
          <w:sz w:val="20"/>
          <w:szCs w:val="20"/>
          <w:color w:val="282828"/>
        </w:rPr>
        <w:t>following</w:t>
      </w:r>
      <w:r>
        <w:rPr>
          <w:rFonts w:ascii="Times New Roman" w:cs="Times New Roman" w:eastAsia="Times New Roman" w:hAnsi="Times New Roman"/>
          <w:sz w:val="20"/>
          <w:szCs w:val="20"/>
          <w:color w:val="3B3B3B"/>
        </w:rPr>
        <w:t xml:space="preserve"> Executive's receipt of written </w:t>
      </w:r>
      <w:r>
        <w:rPr>
          <w:rFonts w:ascii="Times New Roman" w:cs="Times New Roman" w:eastAsia="Times New Roman" w:hAnsi="Times New Roman"/>
          <w:sz w:val="20"/>
          <w:szCs w:val="20"/>
          <w:color w:val="282828"/>
        </w:rPr>
        <w:t>notice</w:t>
      </w:r>
      <w:r>
        <w:rPr>
          <w:rFonts w:ascii="Times New Roman" w:cs="Times New Roman" w:eastAsia="Times New Roman" w:hAnsi="Times New Roman"/>
          <w:sz w:val="20"/>
          <w:szCs w:val="20"/>
          <w:color w:val="3B3B3B"/>
        </w:rPr>
        <w:t xml:space="preserve"> of such willful failure or gross </w:t>
      </w:r>
      <w:r>
        <w:rPr>
          <w:rFonts w:ascii="Times New Roman" w:cs="Times New Roman" w:eastAsia="Times New Roman" w:hAnsi="Times New Roman"/>
          <w:sz w:val="20"/>
          <w:szCs w:val="20"/>
          <w:color w:val="282828"/>
        </w:rPr>
        <w:t>negligence</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3B3B3B"/>
        </w:rPr>
        <w:t xml:space="preserve"> (iv) Executive's failure to follow reasonable and lawful directives of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Board or </w:t>
      </w:r>
      <w:r>
        <w:rPr>
          <w:rFonts w:ascii="Times New Roman" w:cs="Times New Roman" w:eastAsia="Times New Roman" w:hAnsi="Times New Roman"/>
          <w:sz w:val="20"/>
          <w:szCs w:val="20"/>
          <w:color w:val="282828"/>
        </w:rPr>
        <w:t>h</w:t>
      </w:r>
      <w:r>
        <w:rPr>
          <w:rFonts w:ascii="Times New Roman" w:cs="Times New Roman" w:eastAsia="Times New Roman" w:hAnsi="Times New Roman"/>
          <w:sz w:val="20"/>
          <w:szCs w:val="20"/>
          <w:color w:val="4B4B4B"/>
        </w:rPr>
        <w:t>is</w:t>
      </w:r>
      <w:r>
        <w:rPr>
          <w:rFonts w:ascii="Times New Roman" w:cs="Times New Roman" w:eastAsia="Times New Roman" w:hAnsi="Times New Roman"/>
          <w:sz w:val="20"/>
          <w:szCs w:val="20"/>
          <w:color w:val="3B3B3B"/>
        </w:rPr>
        <w:t xml:space="preserve"> breach </w:t>
      </w:r>
      <w:r>
        <w:rPr>
          <w:rFonts w:ascii="Times New Roman" w:cs="Times New Roman" w:eastAsia="Times New Roman" w:hAnsi="Times New Roman"/>
          <w:sz w:val="20"/>
          <w:szCs w:val="20"/>
          <w:color w:val="282828"/>
        </w:rPr>
        <w:t>of</w:t>
      </w:r>
      <w:r>
        <w:rPr>
          <w:rFonts w:ascii="Times New Roman" w:cs="Times New Roman" w:eastAsia="Times New Roman" w:hAnsi="Times New Roman"/>
          <w:sz w:val="20"/>
          <w:szCs w:val="20"/>
          <w:color w:val="3B3B3B"/>
        </w:rPr>
        <w:t xml:space="preserve"> his fiduciary duty to </w:t>
      </w:r>
      <w:r>
        <w:rPr>
          <w:rFonts w:ascii="Times New Roman" w:cs="Times New Roman" w:eastAsia="Times New Roman" w:hAnsi="Times New Roman"/>
          <w:sz w:val="20"/>
          <w:szCs w:val="20"/>
          <w:color w:val="282828"/>
        </w:rPr>
        <w:t>t</w:t>
      </w:r>
      <w:r>
        <w:rPr>
          <w:rFonts w:ascii="Times New Roman" w:cs="Times New Roman" w:eastAsia="Times New Roman" w:hAnsi="Times New Roman"/>
          <w:sz w:val="20"/>
          <w:szCs w:val="20"/>
          <w:color w:val="4B4B4B"/>
        </w:rPr>
        <w:t>he</w:t>
      </w:r>
      <w:r>
        <w:rPr>
          <w:rFonts w:ascii="Times New Roman" w:cs="Times New Roman" w:eastAsia="Times New Roman" w:hAnsi="Times New Roman"/>
          <w:sz w:val="20"/>
          <w:szCs w:val="20"/>
          <w:color w:val="3B3B3B"/>
        </w:rPr>
        <w:t xml:space="preserve"> Company, which failure </w:t>
      </w:r>
      <w:r>
        <w:rPr>
          <w:rFonts w:ascii="Times New Roman" w:cs="Times New Roman" w:eastAsia="Times New Roman" w:hAnsi="Times New Roman"/>
          <w:sz w:val="20"/>
          <w:szCs w:val="20"/>
          <w:color w:val="282828"/>
        </w:rPr>
        <w:t>is</w:t>
      </w:r>
      <w:r>
        <w:rPr>
          <w:rFonts w:ascii="Times New Roman" w:cs="Times New Roman" w:eastAsia="Times New Roman" w:hAnsi="Times New Roman"/>
          <w:sz w:val="20"/>
          <w:szCs w:val="20"/>
          <w:color w:val="3B3B3B"/>
        </w:rPr>
        <w:t xml:space="preserve"> not remedied within thirty (30) calendar days following Executive's receipt of written notice of such failure; (v) any act or omission of Executive that has a demonstrated and material adverse </w:t>
      </w:r>
      <w:r>
        <w:rPr>
          <w:rFonts w:ascii="Times New Roman" w:cs="Times New Roman" w:eastAsia="Times New Roman" w:hAnsi="Times New Roman"/>
          <w:sz w:val="20"/>
          <w:szCs w:val="20"/>
          <w:color w:val="282828"/>
        </w:rPr>
        <w:t>impact</w:t>
      </w:r>
      <w:r>
        <w:rPr>
          <w:rFonts w:ascii="Times New Roman" w:cs="Times New Roman" w:eastAsia="Times New Roman" w:hAnsi="Times New Roman"/>
          <w:sz w:val="20"/>
          <w:szCs w:val="20"/>
          <w:color w:val="3B3B3B"/>
        </w:rPr>
        <w:t xml:space="preserve"> on the Company's business or reputation for honesty and fair dealing, other than an act or failure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3B3B3B"/>
        </w:rPr>
        <w:t xml:space="preserve"> act by Executive in good faith and without reason </w:t>
      </w:r>
      <w:r>
        <w:rPr>
          <w:rFonts w:ascii="Times New Roman" w:cs="Times New Roman" w:eastAsia="Times New Roman" w:hAnsi="Times New Roman"/>
          <w:sz w:val="20"/>
          <w:szCs w:val="20"/>
          <w:color w:val="4B4B4B"/>
        </w:rPr>
        <w:t>to</w:t>
      </w:r>
      <w:r>
        <w:rPr>
          <w:rFonts w:ascii="Times New Roman" w:cs="Times New Roman" w:eastAsia="Times New Roman" w:hAnsi="Times New Roman"/>
          <w:sz w:val="20"/>
          <w:szCs w:val="20"/>
          <w:color w:val="3B3B3B"/>
        </w:rPr>
        <w:t xml:space="preserve"> believe that such act or failure to act would adversely </w:t>
      </w:r>
      <w:r>
        <w:rPr>
          <w:rFonts w:ascii="Times New Roman" w:cs="Times New Roman" w:eastAsia="Times New Roman" w:hAnsi="Times New Roman"/>
          <w:sz w:val="20"/>
          <w:szCs w:val="20"/>
          <w:color w:val="282828"/>
        </w:rPr>
        <w:t>impact</w:t>
      </w:r>
      <w:r>
        <w:rPr>
          <w:rFonts w:ascii="Times New Roman" w:cs="Times New Roman" w:eastAsia="Times New Roman" w:hAnsi="Times New Roman"/>
          <w:sz w:val="20"/>
          <w:szCs w:val="20"/>
          <w:color w:val="3B3B3B"/>
        </w:rPr>
        <w:t xml:space="preserve"> on </w:t>
      </w:r>
      <w:r>
        <w:rPr>
          <w:rFonts w:ascii="Times New Roman" w:cs="Times New Roman" w:eastAsia="Times New Roman" w:hAnsi="Times New Roman"/>
          <w:sz w:val="20"/>
          <w:szCs w:val="20"/>
          <w:color w:val="4B4B4B"/>
        </w:rPr>
        <w:t xml:space="preserve">the </w:t>
      </w:r>
      <w:r>
        <w:rPr>
          <w:rFonts w:ascii="Times New Roman" w:cs="Times New Roman" w:eastAsia="Times New Roman" w:hAnsi="Times New Roman"/>
          <w:sz w:val="20"/>
          <w:szCs w:val="20"/>
          <w:color w:val="3B3B3B"/>
        </w:rPr>
        <w:t>Company's</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82828"/>
        </w:rPr>
        <w:t>b</w:t>
      </w:r>
      <w:r>
        <w:rPr>
          <w:rFonts w:ascii="Times New Roman" w:cs="Times New Roman" w:eastAsia="Times New Roman" w:hAnsi="Times New Roman"/>
          <w:sz w:val="20"/>
          <w:szCs w:val="20"/>
          <w:color w:val="4B4B4B"/>
        </w:rPr>
        <w:t>us</w:t>
      </w:r>
      <w:r>
        <w:rPr>
          <w:rFonts w:ascii="Times New Roman" w:cs="Times New Roman" w:eastAsia="Times New Roman" w:hAnsi="Times New Roman"/>
          <w:sz w:val="20"/>
          <w:szCs w:val="20"/>
          <w:color w:val="282828"/>
        </w:rPr>
        <w:t>in</w:t>
      </w:r>
      <w:r>
        <w:rPr>
          <w:rFonts w:ascii="Times New Roman" w:cs="Times New Roman" w:eastAsia="Times New Roman" w:hAnsi="Times New Roman"/>
          <w:sz w:val="20"/>
          <w:szCs w:val="20"/>
          <w:color w:val="4B4B4B"/>
        </w:rPr>
        <w:t xml:space="preserve">ess </w:t>
      </w:r>
      <w:r>
        <w:rPr>
          <w:rFonts w:ascii="Times New Roman" w:cs="Times New Roman" w:eastAsia="Times New Roman" w:hAnsi="Times New Roman"/>
          <w:sz w:val="20"/>
          <w:szCs w:val="20"/>
          <w:color w:val="3B3B3B"/>
        </w:rPr>
        <w:t>or reputation</w:t>
      </w:r>
      <w:r>
        <w:rPr>
          <w:rFonts w:ascii="Times New Roman" w:cs="Times New Roman" w:eastAsia="Times New Roman" w:hAnsi="Times New Roman"/>
          <w:sz w:val="20"/>
          <w:szCs w:val="20"/>
          <w:color w:val="4B4B4B"/>
        </w:rPr>
        <w:t xml:space="preserve"> for </w:t>
      </w:r>
      <w:r>
        <w:rPr>
          <w:rFonts w:ascii="Times New Roman" w:cs="Times New Roman" w:eastAsia="Times New Roman" w:hAnsi="Times New Roman"/>
          <w:sz w:val="20"/>
          <w:szCs w:val="20"/>
          <w:color w:val="3B3B3B"/>
        </w:rPr>
        <w:t>honesty and fair dealing; or (vi) the breach by Executive of any material</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82828"/>
        </w:rPr>
        <w:t>term</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B3B3B"/>
        </w:rPr>
        <w:t>of this Agreement,</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B3B3B"/>
        </w:rPr>
        <w:t xml:space="preserve">which breach continues for more </w:t>
      </w:r>
      <w:r>
        <w:rPr>
          <w:rFonts w:ascii="Times New Roman" w:cs="Times New Roman" w:eastAsia="Times New Roman" w:hAnsi="Times New Roman"/>
          <w:sz w:val="20"/>
          <w:szCs w:val="20"/>
          <w:color w:val="282828"/>
        </w:rPr>
        <w:t>than</w:t>
      </w:r>
      <w:r>
        <w:rPr>
          <w:rFonts w:ascii="Times New Roman" w:cs="Times New Roman" w:eastAsia="Times New Roman" w:hAnsi="Times New Roman"/>
          <w:sz w:val="20"/>
          <w:szCs w:val="20"/>
          <w:color w:val="3B3B3B"/>
        </w:rPr>
        <w:t xml:space="preserve"> or was not remedied within thirty (30) </w:t>
      </w:r>
      <w:r>
        <w:rPr>
          <w:rFonts w:ascii="Times New Roman" w:cs="Times New Roman" w:eastAsia="Times New Roman" w:hAnsi="Times New Roman"/>
          <w:sz w:val="20"/>
          <w:szCs w:val="20"/>
          <w:color w:val="4B4B4B"/>
        </w:rPr>
        <w:t>calendar</w:t>
      </w:r>
      <w:r>
        <w:rPr>
          <w:rFonts w:ascii="Times New Roman" w:cs="Times New Roman" w:eastAsia="Times New Roman" w:hAnsi="Times New Roman"/>
          <w:sz w:val="20"/>
          <w:szCs w:val="20"/>
          <w:color w:val="3B3B3B"/>
        </w:rPr>
        <w:t xml:space="preserve"> days following </w:t>
      </w:r>
      <w:r>
        <w:rPr>
          <w:rFonts w:ascii="Times New Roman" w:cs="Times New Roman" w:eastAsia="Times New Roman" w:hAnsi="Times New Roman"/>
          <w:sz w:val="20"/>
          <w:szCs w:val="20"/>
          <w:color w:val="4B4B4B"/>
        </w:rPr>
        <w:t>Exec</w:t>
      </w:r>
      <w:r>
        <w:rPr>
          <w:rFonts w:ascii="Times New Roman" w:cs="Times New Roman" w:eastAsia="Times New Roman" w:hAnsi="Times New Roman"/>
          <w:sz w:val="20"/>
          <w:szCs w:val="20"/>
          <w:color w:val="282828"/>
        </w:rPr>
        <w:t>utiv</w:t>
      </w:r>
      <w:r>
        <w:rPr>
          <w:rFonts w:ascii="Times New Roman" w:cs="Times New Roman" w:eastAsia="Times New Roman" w:hAnsi="Times New Roman"/>
          <w:sz w:val="20"/>
          <w:szCs w:val="20"/>
          <w:color w:val="4B4B4B"/>
        </w:rPr>
        <w:t>e's</w:t>
      </w:r>
      <w:r>
        <w:rPr>
          <w:rFonts w:ascii="Times New Roman" w:cs="Times New Roman" w:eastAsia="Times New Roman" w:hAnsi="Times New Roman"/>
          <w:sz w:val="20"/>
          <w:szCs w:val="20"/>
          <w:color w:val="3B3B3B"/>
        </w:rPr>
        <w:t xml:space="preserve"> receipt of written notice of such breach.</w:t>
      </w:r>
    </w:p>
    <w:p>
      <w:pPr>
        <w:spacing w:after="0" w:line="201" w:lineRule="exact"/>
        <w:rPr>
          <w:rFonts w:ascii="Times New Roman" w:cs="Times New Roman" w:eastAsia="Times New Roman" w:hAnsi="Times New Roman"/>
          <w:sz w:val="20"/>
          <w:szCs w:val="20"/>
          <w:color w:val="auto"/>
        </w:rPr>
      </w:pPr>
    </w:p>
    <w:p>
      <w:pPr>
        <w:ind w:left="1289" w:hanging="654"/>
        <w:spacing w:after="0"/>
        <w:tabs>
          <w:tab w:leader="none" w:pos="128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B3B3B"/>
        </w:rPr>
        <w:t xml:space="preserve">WITHOUT </w:t>
      </w:r>
      <w:r>
        <w:rPr>
          <w:rFonts w:ascii="Times New Roman" w:cs="Times New Roman" w:eastAsia="Times New Roman" w:hAnsi="Times New Roman"/>
          <w:sz w:val="20"/>
          <w:szCs w:val="20"/>
          <w:color w:val="4B4B4B"/>
        </w:rPr>
        <w:t>CAUSE;</w:t>
      </w:r>
      <w:r>
        <w:rPr>
          <w:rFonts w:ascii="Times New Roman" w:cs="Times New Roman" w:eastAsia="Times New Roman" w:hAnsi="Times New Roman"/>
          <w:sz w:val="20"/>
          <w:szCs w:val="20"/>
          <w:color w:val="3B3B3B"/>
        </w:rPr>
        <w:t xml:space="preserve"> GOOD REASON.</w:t>
      </w:r>
    </w:p>
    <w:p>
      <w:pPr>
        <w:spacing w:after="0" w:line="242" w:lineRule="exact"/>
        <w:rPr>
          <w:rFonts w:ascii="Times New Roman" w:cs="Times New Roman" w:eastAsia="Times New Roman" w:hAnsi="Times New Roman"/>
          <w:sz w:val="20"/>
          <w:szCs w:val="20"/>
          <w:color w:val="auto"/>
        </w:rPr>
      </w:pPr>
    </w:p>
    <w:p>
      <w:pPr>
        <w:ind w:left="1969" w:right="520" w:hanging="686"/>
        <w:spacing w:after="0" w:line="261" w:lineRule="auto"/>
        <w:tabs>
          <w:tab w:leader="none" w:pos="1969" w:val="left"/>
        </w:tabs>
        <w:numPr>
          <w:ilvl w:val="3"/>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4B4B4B"/>
        </w:rPr>
        <w:t xml:space="preserve">The Company may terminate </w:t>
      </w:r>
      <w:r>
        <w:rPr>
          <w:rFonts w:ascii="Times New Roman" w:cs="Times New Roman" w:eastAsia="Times New Roman" w:hAnsi="Times New Roman"/>
          <w:sz w:val="20"/>
          <w:szCs w:val="20"/>
          <w:color w:val="3B3B3B"/>
        </w:rPr>
        <w:t>the</w:t>
      </w:r>
      <w:r>
        <w:rPr>
          <w:rFonts w:ascii="Times New Roman" w:cs="Times New Roman" w:eastAsia="Times New Roman" w:hAnsi="Times New Roman"/>
          <w:sz w:val="20"/>
          <w:szCs w:val="20"/>
          <w:color w:val="4B4B4B"/>
        </w:rPr>
        <w:t xml:space="preserve"> Executive's </w:t>
      </w:r>
      <w:r>
        <w:rPr>
          <w:rFonts w:ascii="Times New Roman" w:cs="Times New Roman" w:eastAsia="Times New Roman" w:hAnsi="Times New Roman"/>
          <w:sz w:val="20"/>
          <w:szCs w:val="20"/>
          <w:color w:val="3B3B3B"/>
        </w:rPr>
        <w:t>employment hereunder without</w:t>
      </w:r>
      <w:r>
        <w:rPr>
          <w:rFonts w:ascii="Times New Roman" w:cs="Times New Roman" w:eastAsia="Times New Roman" w:hAnsi="Times New Roman"/>
          <w:sz w:val="20"/>
          <w:szCs w:val="20"/>
          <w:color w:val="4B4B4B"/>
        </w:rPr>
        <w:t xml:space="preserve"> Cause, by </w:t>
      </w:r>
      <w:r>
        <w:rPr>
          <w:rFonts w:ascii="Times New Roman" w:cs="Times New Roman" w:eastAsia="Times New Roman" w:hAnsi="Times New Roman"/>
          <w:sz w:val="20"/>
          <w:szCs w:val="20"/>
          <w:color w:val="3B3B3B"/>
        </w:rPr>
        <w:t>giving written</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B3B3B"/>
        </w:rPr>
        <w:t xml:space="preserve">Notice </w:t>
      </w:r>
      <w:r>
        <w:rPr>
          <w:rFonts w:ascii="Times New Roman" w:cs="Times New Roman" w:eastAsia="Times New Roman" w:hAnsi="Times New Roman"/>
          <w:sz w:val="20"/>
          <w:szCs w:val="20"/>
          <w:color w:val="4B4B4B"/>
        </w:rPr>
        <w:t>of Terminatio</w:t>
      </w:r>
      <w:r>
        <w:rPr>
          <w:rFonts w:ascii="Times New Roman" w:cs="Times New Roman" w:eastAsia="Times New Roman" w:hAnsi="Times New Roman"/>
          <w:sz w:val="20"/>
          <w:szCs w:val="20"/>
          <w:color w:val="282828"/>
        </w:rPr>
        <w:t>n</w:t>
      </w:r>
      <w:r>
        <w:rPr>
          <w:rFonts w:ascii="Times New Roman" w:cs="Times New Roman" w:eastAsia="Times New Roman" w:hAnsi="Times New Roman"/>
          <w:sz w:val="20"/>
          <w:szCs w:val="20"/>
          <w:color w:val="3B3B3B"/>
        </w:rPr>
        <w:t xml:space="preserve"> (as defined in Section 5(e)) to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B3B3B"/>
        </w:rPr>
        <w:t xml:space="preserve"> Executive.</w:t>
      </w:r>
    </w:p>
    <w:p>
      <w:pPr>
        <w:spacing w:after="0" w:line="1" w:lineRule="exact"/>
        <w:rPr>
          <w:rFonts w:ascii="Times New Roman" w:cs="Times New Roman" w:eastAsia="Times New Roman" w:hAnsi="Times New Roman"/>
          <w:sz w:val="20"/>
          <w:szCs w:val="20"/>
          <w:color w:val="auto"/>
        </w:rPr>
      </w:pPr>
    </w:p>
    <w:p>
      <w:pPr>
        <w:ind w:left="1969" w:right="160" w:hanging="686"/>
        <w:spacing w:after="0" w:line="259" w:lineRule="auto"/>
        <w:tabs>
          <w:tab w:leader="none" w:pos="1969" w:val="left"/>
        </w:tabs>
        <w:numPr>
          <w:ilvl w:val="3"/>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4B4B4B"/>
        </w:rPr>
        <w:t xml:space="preserve">The Executive </w:t>
      </w:r>
      <w:r>
        <w:rPr>
          <w:rFonts w:ascii="Times New Roman" w:cs="Times New Roman" w:eastAsia="Times New Roman" w:hAnsi="Times New Roman"/>
          <w:sz w:val="20"/>
          <w:szCs w:val="20"/>
          <w:color w:val="3B3B3B"/>
        </w:rPr>
        <w:t>may terminate</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82828"/>
        </w:rPr>
        <w:t>his</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B3B3B"/>
        </w:rPr>
        <w:t>employment</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82828"/>
        </w:rPr>
        <w:t>hereunder</w:t>
      </w:r>
      <w:r>
        <w:rPr>
          <w:rFonts w:ascii="Times New Roman" w:cs="Times New Roman" w:eastAsia="Times New Roman" w:hAnsi="Times New Roman"/>
          <w:sz w:val="20"/>
          <w:szCs w:val="20"/>
          <w:color w:val="4B4B4B"/>
        </w:rPr>
        <w:t xml:space="preserve">, by </w:t>
      </w:r>
      <w:r>
        <w:rPr>
          <w:rFonts w:ascii="Times New Roman" w:cs="Times New Roman" w:eastAsia="Times New Roman" w:hAnsi="Times New Roman"/>
          <w:sz w:val="20"/>
          <w:szCs w:val="20"/>
          <w:color w:val="3B3B3B"/>
        </w:rPr>
        <w:t>giving</w:t>
      </w:r>
      <w:r>
        <w:rPr>
          <w:rFonts w:ascii="Times New Roman" w:cs="Times New Roman" w:eastAsia="Times New Roman" w:hAnsi="Times New Roman"/>
          <w:sz w:val="20"/>
          <w:szCs w:val="20"/>
          <w:color w:val="4B4B4B"/>
        </w:rPr>
        <w:t xml:space="preserve"> written </w:t>
      </w:r>
      <w:r>
        <w:rPr>
          <w:rFonts w:ascii="Times New Roman" w:cs="Times New Roman" w:eastAsia="Times New Roman" w:hAnsi="Times New Roman"/>
          <w:sz w:val="20"/>
          <w:szCs w:val="20"/>
          <w:color w:val="3B3B3B"/>
        </w:rPr>
        <w:t>Notice</w:t>
      </w:r>
      <w:r>
        <w:rPr>
          <w:rFonts w:ascii="Times New Roman" w:cs="Times New Roman" w:eastAsia="Times New Roman" w:hAnsi="Times New Roman"/>
          <w:sz w:val="20"/>
          <w:szCs w:val="20"/>
          <w:color w:val="4B4B4B"/>
        </w:rPr>
        <w:t xml:space="preserve"> of Termination </w:t>
      </w:r>
      <w:r>
        <w:rPr>
          <w:rFonts w:ascii="Times New Roman" w:cs="Times New Roman" w:eastAsia="Times New Roman" w:hAnsi="Times New Roman"/>
          <w:sz w:val="20"/>
          <w:szCs w:val="20"/>
          <w:color w:val="3B3B3B"/>
        </w:rPr>
        <w:t>to the</w:t>
      </w:r>
      <w:r>
        <w:rPr>
          <w:rFonts w:ascii="Times New Roman" w:cs="Times New Roman" w:eastAsia="Times New Roman" w:hAnsi="Times New Roman"/>
          <w:sz w:val="20"/>
          <w:szCs w:val="20"/>
          <w:color w:val="4B4B4B"/>
        </w:rPr>
        <w:t xml:space="preserve"> Co</w:t>
      </w:r>
      <w:r>
        <w:rPr>
          <w:rFonts w:ascii="Times New Roman" w:cs="Times New Roman" w:eastAsia="Times New Roman" w:hAnsi="Times New Roman"/>
          <w:sz w:val="20"/>
          <w:szCs w:val="20"/>
          <w:color w:val="282828"/>
        </w:rPr>
        <w:t>mpany.</w:t>
      </w:r>
      <w:r>
        <w:rPr>
          <w:rFonts w:ascii="Times New Roman" w:cs="Times New Roman" w:eastAsia="Times New Roman" w:hAnsi="Times New Roman"/>
          <w:sz w:val="20"/>
          <w:szCs w:val="20"/>
          <w:color w:val="4B4B4B"/>
        </w:rPr>
        <w:t xml:space="preserve"> For </w:t>
      </w:r>
      <w:r>
        <w:rPr>
          <w:rFonts w:ascii="Times New Roman" w:cs="Times New Roman" w:eastAsia="Times New Roman" w:hAnsi="Times New Roman"/>
          <w:sz w:val="20"/>
          <w:szCs w:val="20"/>
          <w:color w:val="3B3B3B"/>
        </w:rPr>
        <w:t>the purposes of this</w:t>
      </w:r>
      <w:r>
        <w:rPr>
          <w:rFonts w:ascii="Times New Roman" w:cs="Times New Roman" w:eastAsia="Times New Roman" w:hAnsi="Times New Roman"/>
          <w:sz w:val="20"/>
          <w:szCs w:val="20"/>
          <w:color w:val="4B4B4B"/>
        </w:rPr>
        <w:t xml:space="preserve"> Agreement, the Executive </w:t>
      </w:r>
      <w:r>
        <w:rPr>
          <w:rFonts w:ascii="Times New Roman" w:cs="Times New Roman" w:eastAsia="Times New Roman" w:hAnsi="Times New Roman"/>
          <w:sz w:val="20"/>
          <w:szCs w:val="20"/>
          <w:color w:val="3B3B3B"/>
        </w:rPr>
        <w:t>shall have</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4B4B4B"/>
        </w:rPr>
        <w:t xml:space="preserve">Good </w:t>
      </w:r>
      <w:r>
        <w:rPr>
          <w:rFonts w:ascii="Times New Roman" w:cs="Times New Roman" w:eastAsia="Times New Roman" w:hAnsi="Times New Roman"/>
          <w:sz w:val="20"/>
          <w:szCs w:val="20"/>
          <w:color w:val="3B3B3B"/>
        </w:rPr>
        <w:t>Reason"</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82828"/>
        </w:rPr>
        <w:t>to terminate</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B3B3B"/>
        </w:rPr>
        <w:t>his</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B3B3B"/>
        </w:rPr>
        <w:t xml:space="preserve">employment </w:t>
      </w:r>
      <w:r>
        <w:rPr>
          <w:rFonts w:ascii="Times New Roman" w:cs="Times New Roman" w:eastAsia="Times New Roman" w:hAnsi="Times New Roman"/>
          <w:sz w:val="20"/>
          <w:szCs w:val="20"/>
          <w:color w:val="4B4B4B"/>
        </w:rPr>
        <w:t>hereunder</w:t>
      </w:r>
      <w:r>
        <w:rPr>
          <w:rFonts w:ascii="Times New Roman" w:cs="Times New Roman" w:eastAsia="Times New Roman" w:hAnsi="Times New Roman"/>
          <w:sz w:val="20"/>
          <w:szCs w:val="20"/>
          <w:color w:val="3B3B3B"/>
        </w:rPr>
        <w:t xml:space="preserve"> upon certain circumstances: (a) a substantial reduction in the Executive's </w:t>
      </w:r>
      <w:r>
        <w:rPr>
          <w:rFonts w:ascii="Times New Roman" w:cs="Times New Roman" w:eastAsia="Times New Roman" w:hAnsi="Times New Roman"/>
          <w:sz w:val="20"/>
          <w:szCs w:val="20"/>
          <w:color w:val="4B4B4B"/>
        </w:rPr>
        <w:t>aggregate</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4B4B4B"/>
        </w:rPr>
        <w:t>Base Sa</w:t>
      </w:r>
      <w:r>
        <w:rPr>
          <w:rFonts w:ascii="Times New Roman" w:cs="Times New Roman" w:eastAsia="Times New Roman" w:hAnsi="Times New Roman"/>
          <w:sz w:val="20"/>
          <w:szCs w:val="20"/>
          <w:color w:val="282828"/>
        </w:rPr>
        <w:t>l</w:t>
      </w:r>
      <w:r>
        <w:rPr>
          <w:rFonts w:ascii="Times New Roman" w:cs="Times New Roman" w:eastAsia="Times New Roman" w:hAnsi="Times New Roman"/>
          <w:sz w:val="20"/>
          <w:szCs w:val="20"/>
          <w:color w:val="4B4B4B"/>
        </w:rPr>
        <w:t xml:space="preserve">ary </w:t>
      </w:r>
      <w:r>
        <w:rPr>
          <w:rFonts w:ascii="Times New Roman" w:cs="Times New Roman" w:eastAsia="Times New Roman" w:hAnsi="Times New Roman"/>
          <w:sz w:val="20"/>
          <w:szCs w:val="20"/>
          <w:color w:val="3B3B3B"/>
        </w:rPr>
        <w:t>and annual</w:t>
      </w:r>
      <w:r>
        <w:rPr>
          <w:rFonts w:ascii="Times New Roman" w:cs="Times New Roman" w:eastAsia="Times New Roman" w:hAnsi="Times New Roman"/>
          <w:sz w:val="20"/>
          <w:szCs w:val="20"/>
          <w:color w:val="4B4B4B"/>
        </w:rPr>
        <w:t xml:space="preserve"> incentive </w:t>
      </w:r>
      <w:r>
        <w:rPr>
          <w:rFonts w:ascii="Times New Roman" w:cs="Times New Roman" w:eastAsia="Times New Roman" w:hAnsi="Times New Roman"/>
          <w:sz w:val="20"/>
          <w:szCs w:val="20"/>
          <w:color w:val="3B3B3B"/>
        </w:rPr>
        <w:t>compensation</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82828"/>
        </w:rPr>
        <w:t>taken</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B3B3B"/>
        </w:rPr>
        <w:t>as</w:t>
      </w:r>
      <w:r>
        <w:rPr>
          <w:rFonts w:ascii="Times New Roman" w:cs="Times New Roman" w:eastAsia="Times New Roman" w:hAnsi="Times New Roman"/>
          <w:sz w:val="20"/>
          <w:szCs w:val="20"/>
          <w:color w:val="4B4B4B"/>
        </w:rPr>
        <w:t xml:space="preserve"> a </w:t>
      </w:r>
      <w:r>
        <w:rPr>
          <w:rFonts w:ascii="Times New Roman" w:cs="Times New Roman" w:eastAsia="Times New Roman" w:hAnsi="Times New Roman"/>
          <w:sz w:val="20"/>
          <w:szCs w:val="20"/>
          <w:color w:val="3B3B3B"/>
        </w:rPr>
        <w:t>whole, excluding any</w:t>
      </w:r>
      <w:r>
        <w:rPr>
          <w:rFonts w:ascii="Times New Roman" w:cs="Times New Roman" w:eastAsia="Times New Roman" w:hAnsi="Times New Roman"/>
          <w:sz w:val="20"/>
          <w:szCs w:val="20"/>
          <w:color w:val="4B4B4B"/>
        </w:rPr>
        <w:t xml:space="preserve"> reductions </w:t>
      </w:r>
      <w:r>
        <w:rPr>
          <w:rFonts w:ascii="Times New Roman" w:cs="Times New Roman" w:eastAsia="Times New Roman" w:hAnsi="Times New Roman"/>
          <w:sz w:val="20"/>
          <w:szCs w:val="20"/>
          <w:color w:val="3B3B3B"/>
        </w:rPr>
        <w:t>caused by the</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B3B3B"/>
        </w:rPr>
        <w:t xml:space="preserve">performance </w:t>
      </w:r>
      <w:r>
        <w:rPr>
          <w:rFonts w:ascii="Times New Roman" w:cs="Times New Roman" w:eastAsia="Times New Roman" w:hAnsi="Times New Roman"/>
          <w:sz w:val="20"/>
          <w:szCs w:val="20"/>
          <w:color w:val="4B4B4B"/>
        </w:rPr>
        <w:t>of</w:t>
      </w:r>
      <w:r>
        <w:rPr>
          <w:rFonts w:ascii="Times New Roman" w:cs="Times New Roman" w:eastAsia="Times New Roman" w:hAnsi="Times New Roman"/>
          <w:sz w:val="20"/>
          <w:szCs w:val="20"/>
          <w:color w:val="3B3B3B"/>
        </w:rPr>
        <w:t xml:space="preserve"> the </w:t>
      </w:r>
      <w:r>
        <w:rPr>
          <w:rFonts w:ascii="Times New Roman" w:cs="Times New Roman" w:eastAsia="Times New Roman" w:hAnsi="Times New Roman"/>
          <w:sz w:val="20"/>
          <w:szCs w:val="20"/>
          <w:color w:val="4B4B4B"/>
        </w:rPr>
        <w:t>Company</w:t>
      </w:r>
      <w:r>
        <w:rPr>
          <w:rFonts w:ascii="Times New Roman" w:cs="Times New Roman" w:eastAsia="Times New Roman" w:hAnsi="Times New Roman"/>
          <w:sz w:val="20"/>
          <w:szCs w:val="20"/>
          <w:color w:val="3B3B3B"/>
        </w:rPr>
        <w:t xml:space="preserve"> or </w:t>
      </w:r>
      <w:r>
        <w:rPr>
          <w:rFonts w:ascii="Times New Roman" w:cs="Times New Roman" w:eastAsia="Times New Roman" w:hAnsi="Times New Roman"/>
          <w:sz w:val="20"/>
          <w:szCs w:val="20"/>
          <w:color w:val="4B4B4B"/>
        </w:rPr>
        <w:t>the Executive,</w:t>
      </w:r>
      <w:r>
        <w:rPr>
          <w:rFonts w:ascii="Times New Roman" w:cs="Times New Roman" w:eastAsia="Times New Roman" w:hAnsi="Times New Roman"/>
          <w:sz w:val="20"/>
          <w:szCs w:val="20"/>
          <w:color w:val="3B3B3B"/>
        </w:rPr>
        <w:t xml:space="preserve"> including but </w:t>
      </w:r>
      <w:r>
        <w:rPr>
          <w:rFonts w:ascii="Times New Roman" w:cs="Times New Roman" w:eastAsia="Times New Roman" w:hAnsi="Times New Roman"/>
          <w:sz w:val="20"/>
          <w:szCs w:val="20"/>
          <w:color w:val="4B4B4B"/>
        </w:rPr>
        <w:t>not</w:t>
      </w:r>
      <w:r>
        <w:rPr>
          <w:rFonts w:ascii="Times New Roman" w:cs="Times New Roman" w:eastAsia="Times New Roman" w:hAnsi="Times New Roman"/>
          <w:sz w:val="20"/>
          <w:szCs w:val="20"/>
          <w:color w:val="3B3B3B"/>
        </w:rPr>
        <w:t xml:space="preserve"> limited to, the failure </w:t>
      </w:r>
      <w:r>
        <w:rPr>
          <w:rFonts w:ascii="Times New Roman" w:cs="Times New Roman" w:eastAsia="Times New Roman" w:hAnsi="Times New Roman"/>
          <w:sz w:val="20"/>
          <w:szCs w:val="20"/>
          <w:color w:val="4B4B4B"/>
        </w:rPr>
        <w:t>by</w:t>
      </w:r>
      <w:r>
        <w:rPr>
          <w:rFonts w:ascii="Times New Roman" w:cs="Times New Roman" w:eastAsia="Times New Roman" w:hAnsi="Times New Roman"/>
          <w:sz w:val="20"/>
          <w:szCs w:val="20"/>
          <w:color w:val="3B3B3B"/>
        </w:rPr>
        <w:t xml:space="preserve"> the Executive to achieve performance targets established</w:t>
      </w:r>
    </w:p>
    <w:p>
      <w:pPr>
        <w:sectPr>
          <w:pgSz w:w="11900" w:h="16838" w:orient="portrait"/>
          <w:cols w:equalWidth="0" w:num="1">
            <w:col w:w="10589"/>
          </w:cols>
          <w:pgMar w:left="1031" w:top="441" w:right="279" w:bottom="1440" w:gutter="0" w:footer="0" w:header="0"/>
        </w:sectPr>
      </w:pPr>
    </w:p>
    <w:bookmarkStart w:id="122" w:name="page123"/>
    <w:bookmarkEnd w:id="122"/>
    <w:p>
      <w:pPr>
        <w:ind w:left="2680"/>
        <w:spacing w:after="0" w:line="272" w:lineRule="auto"/>
        <w:rPr>
          <w:sz w:val="20"/>
          <w:szCs w:val="20"/>
          <w:color w:val="auto"/>
        </w:rPr>
      </w:pPr>
      <w:r>
        <w:rPr>
          <w:rFonts w:ascii="Times New Roman" w:cs="Times New Roman" w:eastAsia="Times New Roman" w:hAnsi="Times New Roman"/>
          <w:sz w:val="19"/>
          <w:szCs w:val="19"/>
          <w:color w:val="3D3D3D"/>
        </w:rPr>
        <w:t xml:space="preserve">from time to time </w:t>
      </w:r>
      <w:r>
        <w:rPr>
          <w:rFonts w:ascii="Times New Roman" w:cs="Times New Roman" w:eastAsia="Times New Roman" w:hAnsi="Times New Roman"/>
          <w:sz w:val="19"/>
          <w:szCs w:val="19"/>
          <w:color w:val="282828"/>
        </w:rPr>
        <w:t>by</w:t>
      </w:r>
      <w:r>
        <w:rPr>
          <w:rFonts w:ascii="Times New Roman" w:cs="Times New Roman" w:eastAsia="Times New Roman" w:hAnsi="Times New Roman"/>
          <w:sz w:val="19"/>
          <w:szCs w:val="19"/>
          <w:color w:val="3D3D3D"/>
        </w:rPr>
        <w:t xml:space="preserve"> the Board and/or under the Management Incentive Plan or Long Term Incentive Plan or from below budget performance </w:t>
      </w:r>
      <w:r>
        <w:rPr>
          <w:rFonts w:ascii="Times New Roman" w:cs="Times New Roman" w:eastAsia="Times New Roman" w:hAnsi="Times New Roman"/>
          <w:sz w:val="19"/>
          <w:szCs w:val="19"/>
          <w:color w:val="282828"/>
        </w:rPr>
        <w:t>by</w:t>
      </w:r>
      <w:r>
        <w:rPr>
          <w:rFonts w:ascii="Times New Roman" w:cs="Times New Roman" w:eastAsia="Times New Roman" w:hAnsi="Times New Roman"/>
          <w:sz w:val="19"/>
          <w:szCs w:val="19"/>
          <w:color w:val="3D3D3D"/>
        </w:rPr>
        <w:t xml:space="preserve"> the Company, or (b) the Company</w:t>
      </w:r>
      <w:r>
        <w:rPr>
          <w:rFonts w:ascii="Times New Roman" w:cs="Times New Roman" w:eastAsia="Times New Roman" w:hAnsi="Times New Roman"/>
          <w:sz w:val="19"/>
          <w:szCs w:val="19"/>
          <w:color w:val="565656"/>
        </w:rPr>
        <w:t>'</w:t>
      </w:r>
      <w:r>
        <w:rPr>
          <w:rFonts w:ascii="Times New Roman" w:cs="Times New Roman" w:eastAsia="Times New Roman" w:hAnsi="Times New Roman"/>
          <w:sz w:val="19"/>
          <w:szCs w:val="19"/>
          <w:color w:val="3D3D3D"/>
        </w:rPr>
        <w:t xml:space="preserve"> s failure to make payments of Base Pay and incentive compensation, but only upon </w:t>
      </w:r>
      <w:r>
        <w:rPr>
          <w:rFonts w:ascii="Times New Roman" w:cs="Times New Roman" w:eastAsia="Times New Roman" w:hAnsi="Times New Roman"/>
          <w:sz w:val="19"/>
          <w:szCs w:val="19"/>
          <w:color w:val="282828"/>
        </w:rPr>
        <w:t>notice</w:t>
      </w:r>
      <w:r>
        <w:rPr>
          <w:rFonts w:ascii="Times New Roman" w:cs="Times New Roman" w:eastAsia="Times New Roman" w:hAnsi="Times New Roman"/>
          <w:sz w:val="19"/>
          <w:szCs w:val="19"/>
          <w:color w:val="3D3D3D"/>
        </w:rPr>
        <w:t xml:space="preserve"> of such failure given by the Execut</w:t>
      </w:r>
      <w:r>
        <w:rPr>
          <w:rFonts w:ascii="Times New Roman" w:cs="Times New Roman" w:eastAsia="Times New Roman" w:hAnsi="Times New Roman"/>
          <w:sz w:val="19"/>
          <w:szCs w:val="19"/>
          <w:color w:val="565656"/>
        </w:rPr>
        <w:t>i</w:t>
      </w:r>
      <w:r>
        <w:rPr>
          <w:rFonts w:ascii="Times New Roman" w:cs="Times New Roman" w:eastAsia="Times New Roman" w:hAnsi="Times New Roman"/>
          <w:sz w:val="19"/>
          <w:szCs w:val="19"/>
          <w:color w:val="3D3D3D"/>
        </w:rPr>
        <w:t>ve within ninety</w:t>
      </w:r>
    </w:p>
    <w:p>
      <w:pPr>
        <w:spacing w:after="0" w:line="2" w:lineRule="exact"/>
        <w:rPr>
          <w:sz w:val="20"/>
          <w:szCs w:val="20"/>
          <w:color w:val="auto"/>
        </w:rPr>
      </w:pPr>
    </w:p>
    <w:p>
      <w:pPr>
        <w:ind w:left="2680" w:right="280" w:hanging="10"/>
        <w:spacing w:after="0" w:line="267" w:lineRule="auto"/>
        <w:tabs>
          <w:tab w:leader="none" w:pos="3059" w:val="left"/>
        </w:tabs>
        <w:numPr>
          <w:ilvl w:val="2"/>
          <w:numId w:val="39"/>
        </w:numPr>
        <w:rPr>
          <w:rFonts w:ascii="Times New Roman" w:cs="Times New Roman" w:eastAsia="Times New Roman" w:hAnsi="Times New Roman"/>
          <w:sz w:val="20"/>
          <w:szCs w:val="20"/>
          <w:color w:val="3D3D3D"/>
        </w:rPr>
      </w:pPr>
      <w:r>
        <w:rPr>
          <w:rFonts w:ascii="Times New Roman" w:cs="Times New Roman" w:eastAsia="Times New Roman" w:hAnsi="Times New Roman"/>
          <w:sz w:val="20"/>
          <w:szCs w:val="20"/>
          <w:color w:val="3D3D3D"/>
        </w:rPr>
        <w:t xml:space="preserve">days of the </w:t>
      </w:r>
      <w:r>
        <w:rPr>
          <w:rFonts w:ascii="Times New Roman" w:cs="Times New Roman" w:eastAsia="Times New Roman" w:hAnsi="Times New Roman"/>
          <w:sz w:val="20"/>
          <w:szCs w:val="20"/>
          <w:color w:val="282828"/>
        </w:rPr>
        <w:t>initial</w:t>
      </w:r>
      <w:r>
        <w:rPr>
          <w:rFonts w:ascii="Times New Roman" w:cs="Times New Roman" w:eastAsia="Times New Roman" w:hAnsi="Times New Roman"/>
          <w:sz w:val="20"/>
          <w:szCs w:val="20"/>
          <w:color w:val="3D3D3D"/>
        </w:rPr>
        <w:t xml:space="preserve"> existence of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failure and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subsequent failure of the Company to cure the </w:t>
      </w:r>
      <w:r>
        <w:rPr>
          <w:rFonts w:ascii="Times New Roman" w:cs="Times New Roman" w:eastAsia="Times New Roman" w:hAnsi="Times New Roman"/>
          <w:sz w:val="20"/>
          <w:szCs w:val="20"/>
          <w:color w:val="282828"/>
        </w:rPr>
        <w:t>non</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payment within thirty (30) days of such </w:t>
      </w:r>
      <w:r>
        <w:rPr>
          <w:rFonts w:ascii="Times New Roman" w:cs="Times New Roman" w:eastAsia="Times New Roman" w:hAnsi="Times New Roman"/>
          <w:sz w:val="20"/>
          <w:szCs w:val="20"/>
          <w:color w:val="282828"/>
        </w:rPr>
        <w:t>notice</w:t>
      </w:r>
      <w:r>
        <w:rPr>
          <w:rFonts w:ascii="Times New Roman" w:cs="Times New Roman" w:eastAsia="Times New Roman" w:hAnsi="Times New Roman"/>
          <w:sz w:val="20"/>
          <w:szCs w:val="20"/>
          <w:color w:val="666666"/>
        </w:rPr>
        <w:t>.</w:t>
      </w:r>
    </w:p>
    <w:p>
      <w:pPr>
        <w:spacing w:after="0" w:line="188" w:lineRule="exact"/>
        <w:rPr>
          <w:rFonts w:ascii="Times New Roman" w:cs="Times New Roman" w:eastAsia="Times New Roman" w:hAnsi="Times New Roman"/>
          <w:sz w:val="20"/>
          <w:szCs w:val="20"/>
          <w:color w:val="3D3D3D"/>
        </w:rPr>
      </w:pPr>
    </w:p>
    <w:p>
      <w:pPr>
        <w:ind w:right="160" w:firstLine="1320"/>
        <w:spacing w:after="0" w:line="260" w:lineRule="auto"/>
        <w:tabs>
          <w:tab w:leader="none" w:pos="171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 xml:space="preserve">NOTICE OF TERMINATION. Any termination by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Company pursuant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3D3D3D"/>
        </w:rPr>
        <w:t xml:space="preserve"> the Subsections (b)</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D3D3D"/>
        </w:rPr>
        <w:t xml:space="preserve"> (c) or (d)(i) above or </w:t>
      </w:r>
      <w:r>
        <w:rPr>
          <w:rFonts w:ascii="Times New Roman" w:cs="Times New Roman" w:eastAsia="Times New Roman" w:hAnsi="Times New Roman"/>
          <w:sz w:val="20"/>
          <w:szCs w:val="20"/>
          <w:color w:val="282828"/>
        </w:rPr>
        <w:t xml:space="preserve">by </w:t>
      </w:r>
      <w:r>
        <w:rPr>
          <w:rFonts w:ascii="Times New Roman" w:cs="Times New Roman" w:eastAsia="Times New Roman" w:hAnsi="Times New Roman"/>
          <w:sz w:val="20"/>
          <w:szCs w:val="20"/>
          <w:color w:val="3D3D3D"/>
        </w:rPr>
        <w:t>the Executive pursuant</w:t>
      </w:r>
      <w:r>
        <w:rPr>
          <w:rFonts w:ascii="Times New Roman" w:cs="Times New Roman" w:eastAsia="Times New Roman" w:hAnsi="Times New Roman"/>
          <w:sz w:val="20"/>
          <w:szCs w:val="20"/>
          <w:color w:val="282828"/>
        </w:rPr>
        <w:t xml:space="preserve"> to </w:t>
      </w:r>
      <w:r>
        <w:rPr>
          <w:rFonts w:ascii="Times New Roman" w:cs="Times New Roman" w:eastAsia="Times New Roman" w:hAnsi="Times New Roman"/>
          <w:sz w:val="20"/>
          <w:szCs w:val="20"/>
          <w:color w:val="3D3D3D"/>
        </w:rPr>
        <w:t>Subsection (d)(ii) above</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D3D3D"/>
        </w:rPr>
        <w:t>shall be communicated by written Notice of Termination from the party issuing such</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D3D3D"/>
        </w:rPr>
        <w:t xml:space="preserve">notice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3D3D3D"/>
        </w:rPr>
        <w:t xml:space="preserve"> the </w:t>
      </w:r>
      <w:r>
        <w:rPr>
          <w:rFonts w:ascii="Times New Roman" w:cs="Times New Roman" w:eastAsia="Times New Roman" w:hAnsi="Times New Roman"/>
          <w:sz w:val="20"/>
          <w:szCs w:val="20"/>
          <w:color w:val="282828"/>
        </w:rPr>
        <w:t>other</w:t>
      </w:r>
      <w:r>
        <w:rPr>
          <w:rFonts w:ascii="Times New Roman" w:cs="Times New Roman" w:eastAsia="Times New Roman" w:hAnsi="Times New Roman"/>
          <w:sz w:val="20"/>
          <w:szCs w:val="20"/>
          <w:color w:val="3D3D3D"/>
        </w:rPr>
        <w:t xml:space="preserve"> party hereto. </w:t>
      </w:r>
      <w:r>
        <w:rPr>
          <w:rFonts w:ascii="Times New Roman" w:cs="Times New Roman" w:eastAsia="Times New Roman" w:hAnsi="Times New Roman"/>
          <w:sz w:val="20"/>
          <w:szCs w:val="20"/>
          <w:color w:val="282828"/>
        </w:rPr>
        <w:t>For</w:t>
      </w:r>
      <w:r>
        <w:rPr>
          <w:rFonts w:ascii="Times New Roman" w:cs="Times New Roman" w:eastAsia="Times New Roman" w:hAnsi="Times New Roman"/>
          <w:sz w:val="20"/>
          <w:szCs w:val="20"/>
          <w:color w:val="3D3D3D"/>
        </w:rPr>
        <w:t xml:space="preserve"> purposes of </w:t>
      </w:r>
      <w:r>
        <w:rPr>
          <w:rFonts w:ascii="Times New Roman" w:cs="Times New Roman" w:eastAsia="Times New Roman" w:hAnsi="Times New Roman"/>
          <w:sz w:val="20"/>
          <w:szCs w:val="20"/>
          <w:color w:val="282828"/>
        </w:rPr>
        <w:t>this</w:t>
      </w:r>
      <w:r>
        <w:rPr>
          <w:rFonts w:ascii="Times New Roman" w:cs="Times New Roman" w:eastAsia="Times New Roman" w:hAnsi="Times New Roman"/>
          <w:sz w:val="20"/>
          <w:szCs w:val="20"/>
          <w:color w:val="3D3D3D"/>
        </w:rPr>
        <w:t xml:space="preserve"> Agreement, a "Notice of </w:t>
      </w:r>
      <w:r>
        <w:rPr>
          <w:rFonts w:ascii="Times New Roman" w:cs="Times New Roman" w:eastAsia="Times New Roman" w:hAnsi="Times New Roman"/>
          <w:sz w:val="20"/>
          <w:szCs w:val="20"/>
          <w:color w:val="282828"/>
        </w:rPr>
        <w:t>Termination</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 shall </w:t>
      </w:r>
      <w:r>
        <w:rPr>
          <w:rFonts w:ascii="Times New Roman" w:cs="Times New Roman" w:eastAsia="Times New Roman" w:hAnsi="Times New Roman"/>
          <w:sz w:val="20"/>
          <w:szCs w:val="20"/>
          <w:color w:val="282828"/>
        </w:rPr>
        <w:t>mean</w:t>
      </w:r>
      <w:r>
        <w:rPr>
          <w:rFonts w:ascii="Times New Roman" w:cs="Times New Roman" w:eastAsia="Times New Roman" w:hAnsi="Times New Roman"/>
          <w:sz w:val="20"/>
          <w:szCs w:val="20"/>
          <w:color w:val="3D3D3D"/>
        </w:rPr>
        <w:t xml:space="preserve"> a notice which </w:t>
      </w:r>
      <w:r>
        <w:rPr>
          <w:rFonts w:ascii="Times New Roman" w:cs="Times New Roman" w:eastAsia="Times New Roman" w:hAnsi="Times New Roman"/>
          <w:sz w:val="20"/>
          <w:szCs w:val="20"/>
          <w:color w:val="282828"/>
        </w:rPr>
        <w:t>shall</w:t>
      </w:r>
      <w:r>
        <w:rPr>
          <w:rFonts w:ascii="Times New Roman" w:cs="Times New Roman" w:eastAsia="Times New Roman" w:hAnsi="Times New Roman"/>
          <w:sz w:val="20"/>
          <w:szCs w:val="20"/>
          <w:color w:val="3D3D3D"/>
        </w:rPr>
        <w:t xml:space="preserve"> indicate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specific termination provision of </w:t>
      </w:r>
      <w:r>
        <w:rPr>
          <w:rFonts w:ascii="Times New Roman" w:cs="Times New Roman" w:eastAsia="Times New Roman" w:hAnsi="Times New Roman"/>
          <w:sz w:val="20"/>
          <w:szCs w:val="20"/>
          <w:color w:val="282828"/>
        </w:rPr>
        <w:t>this</w:t>
      </w:r>
      <w:r>
        <w:rPr>
          <w:rFonts w:ascii="Times New Roman" w:cs="Times New Roman" w:eastAsia="Times New Roman" w:hAnsi="Times New Roman"/>
          <w:sz w:val="20"/>
          <w:szCs w:val="20"/>
          <w:color w:val="3D3D3D"/>
        </w:rPr>
        <w:t xml:space="preserve"> Agreement relied upon and shall set forth in reasonable detail the facts and circumstances claimed to provide a bas</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282828"/>
        </w:rPr>
        <w:t>s</w:t>
      </w:r>
      <w:r>
        <w:rPr>
          <w:rFonts w:ascii="Times New Roman" w:cs="Times New Roman" w:eastAsia="Times New Roman" w:hAnsi="Times New Roman"/>
          <w:sz w:val="20"/>
          <w:szCs w:val="20"/>
          <w:color w:val="3D3D3D"/>
        </w:rPr>
        <w:t xml:space="preserve"> for such termination. A date of termination </w:t>
      </w:r>
      <w:r>
        <w:rPr>
          <w:rFonts w:ascii="Times New Roman" w:cs="Times New Roman" w:eastAsia="Times New Roman" w:hAnsi="Times New Roman"/>
          <w:sz w:val="20"/>
          <w:szCs w:val="20"/>
          <w:color w:val="282828"/>
        </w:rPr>
        <w:t>specified in</w:t>
      </w:r>
      <w:r>
        <w:rPr>
          <w:rFonts w:ascii="Times New Roman" w:cs="Times New Roman" w:eastAsia="Times New Roman" w:hAnsi="Times New Roman"/>
          <w:sz w:val="20"/>
          <w:szCs w:val="20"/>
          <w:color w:val="3D3D3D"/>
        </w:rPr>
        <w:t xml:space="preserve"> the Notice of Termination shall not </w:t>
      </w:r>
      <w:r>
        <w:rPr>
          <w:rFonts w:ascii="Times New Roman" w:cs="Times New Roman" w:eastAsia="Times New Roman" w:hAnsi="Times New Roman"/>
          <w:sz w:val="20"/>
          <w:szCs w:val="20"/>
          <w:color w:val="282828"/>
        </w:rPr>
        <w:t>be</w:t>
      </w:r>
      <w:r>
        <w:rPr>
          <w:rFonts w:ascii="Times New Roman" w:cs="Times New Roman" w:eastAsia="Times New Roman" w:hAnsi="Times New Roman"/>
          <w:sz w:val="20"/>
          <w:szCs w:val="20"/>
          <w:color w:val="3D3D3D"/>
        </w:rPr>
        <w:t xml:space="preserve"> dated earlier </w:t>
      </w:r>
      <w:r>
        <w:rPr>
          <w:rFonts w:ascii="Times New Roman" w:cs="Times New Roman" w:eastAsia="Times New Roman" w:hAnsi="Times New Roman"/>
          <w:sz w:val="20"/>
          <w:szCs w:val="20"/>
          <w:color w:val="282828"/>
        </w:rPr>
        <w:t>than</w:t>
      </w:r>
      <w:r>
        <w:rPr>
          <w:rFonts w:ascii="Times New Roman" w:cs="Times New Roman" w:eastAsia="Times New Roman" w:hAnsi="Times New Roman"/>
          <w:sz w:val="20"/>
          <w:szCs w:val="20"/>
          <w:color w:val="3D3D3D"/>
        </w:rPr>
        <w:t xml:space="preserve"> ninety (90) </w:t>
      </w:r>
      <w:r>
        <w:rPr>
          <w:rFonts w:ascii="Times New Roman" w:cs="Times New Roman" w:eastAsia="Times New Roman" w:hAnsi="Times New Roman"/>
          <w:sz w:val="20"/>
          <w:szCs w:val="20"/>
          <w:color w:val="282828"/>
        </w:rPr>
        <w:t xml:space="preserve">days </w:t>
      </w:r>
      <w:r>
        <w:rPr>
          <w:rFonts w:ascii="Times New Roman" w:cs="Times New Roman" w:eastAsia="Times New Roman" w:hAnsi="Times New Roman"/>
          <w:sz w:val="20"/>
          <w:szCs w:val="20"/>
          <w:color w:val="3D3D3D"/>
        </w:rPr>
        <w:t>from the date such Notice is delivered or mailed to the applicable party and</w:t>
      </w:r>
      <w:r>
        <w:rPr>
          <w:rFonts w:ascii="Times New Roman" w:cs="Times New Roman" w:eastAsia="Times New Roman" w:hAnsi="Times New Roman"/>
          <w:sz w:val="20"/>
          <w:szCs w:val="20"/>
          <w:color w:val="282828"/>
        </w:rPr>
        <w:t xml:space="preserve"> not </w:t>
      </w:r>
      <w:r>
        <w:rPr>
          <w:rFonts w:ascii="Times New Roman" w:cs="Times New Roman" w:eastAsia="Times New Roman" w:hAnsi="Times New Roman"/>
          <w:sz w:val="20"/>
          <w:szCs w:val="20"/>
          <w:color w:val="3D3D3D"/>
        </w:rPr>
        <w:t>later</w:t>
      </w:r>
      <w:r>
        <w:rPr>
          <w:rFonts w:ascii="Times New Roman" w:cs="Times New Roman" w:eastAsia="Times New Roman" w:hAnsi="Times New Roman"/>
          <w:sz w:val="20"/>
          <w:szCs w:val="20"/>
          <w:color w:val="282828"/>
        </w:rPr>
        <w:t xml:space="preserve"> than two </w:t>
      </w:r>
      <w:r>
        <w:rPr>
          <w:rFonts w:ascii="Times New Roman" w:cs="Times New Roman" w:eastAsia="Times New Roman" w:hAnsi="Times New Roman"/>
          <w:sz w:val="20"/>
          <w:szCs w:val="20"/>
          <w:color w:val="3D3D3D"/>
        </w:rPr>
        <w:t>(2) years</w:t>
      </w:r>
      <w:r>
        <w:rPr>
          <w:rFonts w:ascii="Times New Roman" w:cs="Times New Roman" w:eastAsia="Times New Roman" w:hAnsi="Times New Roman"/>
          <w:sz w:val="20"/>
          <w:szCs w:val="20"/>
          <w:color w:val="282828"/>
        </w:rPr>
        <w:t xml:space="preserve"> after </w:t>
      </w:r>
      <w:r>
        <w:rPr>
          <w:rFonts w:ascii="Times New Roman" w:cs="Times New Roman" w:eastAsia="Times New Roman" w:hAnsi="Times New Roman"/>
          <w:sz w:val="20"/>
          <w:szCs w:val="20"/>
          <w:color w:val="3D3D3D"/>
        </w:rPr>
        <w:t>the initial existence of the</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D3D3D"/>
        </w:rPr>
        <w:t>failure.</w:t>
      </w:r>
    </w:p>
    <w:p>
      <w:pPr>
        <w:spacing w:after="0" w:line="200" w:lineRule="exact"/>
        <w:rPr>
          <w:rFonts w:ascii="Times New Roman" w:cs="Times New Roman" w:eastAsia="Times New Roman" w:hAnsi="Times New Roman"/>
          <w:sz w:val="20"/>
          <w:szCs w:val="20"/>
          <w:color w:val="auto"/>
        </w:rPr>
      </w:pPr>
    </w:p>
    <w:p>
      <w:pPr>
        <w:ind w:right="40" w:firstLine="1306"/>
        <w:spacing w:after="0" w:line="272" w:lineRule="auto"/>
        <w:tabs>
          <w:tab w:leader="none" w:pos="16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OBLIGATION TO PAY. Except upon termination for Cause, voluntary termination by the Execut</w:t>
      </w:r>
      <w:r>
        <w:rPr>
          <w:rFonts w:ascii="Times New Roman" w:cs="Times New Roman" w:eastAsia="Times New Roman" w:hAnsi="Times New Roman"/>
          <w:sz w:val="20"/>
          <w:szCs w:val="20"/>
          <w:color w:val="666666"/>
        </w:rPr>
        <w:t>i</w:t>
      </w:r>
      <w:r>
        <w:rPr>
          <w:rFonts w:ascii="Times New Roman" w:cs="Times New Roman" w:eastAsia="Times New Roman" w:hAnsi="Times New Roman"/>
          <w:sz w:val="20"/>
          <w:szCs w:val="20"/>
          <w:color w:val="3D3D3D"/>
        </w:rPr>
        <w:t xml:space="preserve">ve without Good Reason, or termination as a result of death or disability, and </w:t>
      </w:r>
      <w:r>
        <w:rPr>
          <w:rFonts w:ascii="Times New Roman" w:cs="Times New Roman" w:eastAsia="Times New Roman" w:hAnsi="Times New Roman"/>
          <w:sz w:val="20"/>
          <w:szCs w:val="20"/>
          <w:color w:val="282828"/>
        </w:rPr>
        <w:t>further</w:t>
      </w:r>
      <w:r>
        <w:rPr>
          <w:rFonts w:ascii="Times New Roman" w:cs="Times New Roman" w:eastAsia="Times New Roman" w:hAnsi="Times New Roman"/>
          <w:sz w:val="20"/>
          <w:szCs w:val="20"/>
          <w:color w:val="3D3D3D"/>
        </w:rPr>
        <w:t xml:space="preserve"> subject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3D3D3D"/>
        </w:rPr>
        <w:t xml:space="preserve"> Sections 6 and 16 below, the Company shall (i) pay the compensation </w:t>
      </w:r>
      <w:r>
        <w:rPr>
          <w:rFonts w:ascii="Times New Roman" w:cs="Times New Roman" w:eastAsia="Times New Roman" w:hAnsi="Times New Roman"/>
          <w:sz w:val="20"/>
          <w:szCs w:val="20"/>
          <w:color w:val="282828"/>
        </w:rPr>
        <w:t>specified</w:t>
      </w:r>
      <w:r>
        <w:rPr>
          <w:rFonts w:ascii="Times New Roman" w:cs="Times New Roman" w:eastAsia="Times New Roman" w:hAnsi="Times New Roman"/>
          <w:sz w:val="20"/>
          <w:szCs w:val="20"/>
          <w:color w:val="3D3D3D"/>
        </w:rPr>
        <w:t xml:space="preserve"> in this Subsection 5(f) to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565656"/>
        </w:rPr>
        <w:t>E</w:t>
      </w:r>
      <w:r>
        <w:rPr>
          <w:rFonts w:ascii="Times New Roman" w:cs="Times New Roman" w:eastAsia="Times New Roman" w:hAnsi="Times New Roman"/>
          <w:sz w:val="20"/>
          <w:szCs w:val="20"/>
          <w:color w:val="3D3D3D"/>
        </w:rPr>
        <w:t>xecutive for the period specified in this Subsection 5(f)</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 (ii) continue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3D3D3D"/>
        </w:rPr>
        <w:t xml:space="preserve"> provide</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 no less </w:t>
      </w:r>
      <w:r>
        <w:rPr>
          <w:rFonts w:ascii="Times New Roman" w:cs="Times New Roman" w:eastAsia="Times New Roman" w:hAnsi="Times New Roman"/>
          <w:sz w:val="20"/>
          <w:szCs w:val="20"/>
          <w:color w:val="282828"/>
        </w:rPr>
        <w:t xml:space="preserve">frequently </w:t>
      </w:r>
      <w:r>
        <w:rPr>
          <w:rFonts w:ascii="Times New Roman" w:cs="Times New Roman" w:eastAsia="Times New Roman" w:hAnsi="Times New Roman"/>
          <w:sz w:val="20"/>
          <w:szCs w:val="20"/>
          <w:color w:val="3D3D3D"/>
        </w:rPr>
        <w:t>than monthly, life insurance benefits during the remainder of</w:t>
      </w:r>
      <w:r>
        <w:rPr>
          <w:rFonts w:ascii="Times New Roman" w:cs="Times New Roman" w:eastAsia="Times New Roman" w:hAnsi="Times New Roman"/>
          <w:sz w:val="20"/>
          <w:szCs w:val="20"/>
          <w:color w:val="282828"/>
        </w:rPr>
        <w:t xml:space="preserve"> the </w:t>
      </w:r>
      <w:r>
        <w:rPr>
          <w:rFonts w:ascii="Times New Roman" w:cs="Times New Roman" w:eastAsia="Times New Roman" w:hAnsi="Times New Roman"/>
          <w:sz w:val="20"/>
          <w:szCs w:val="20"/>
          <w:color w:val="3D3D3D"/>
        </w:rPr>
        <w:t>applicable</w:t>
      </w:r>
      <w:r>
        <w:rPr>
          <w:rFonts w:ascii="Times New Roman" w:cs="Times New Roman" w:eastAsia="Times New Roman" w:hAnsi="Times New Roman"/>
          <w:sz w:val="20"/>
          <w:szCs w:val="20"/>
          <w:color w:val="282828"/>
        </w:rPr>
        <w:t xml:space="preserve"> period, </w:t>
      </w:r>
      <w:r>
        <w:rPr>
          <w:rFonts w:ascii="Times New Roman" w:cs="Times New Roman" w:eastAsia="Times New Roman" w:hAnsi="Times New Roman"/>
          <w:sz w:val="20"/>
          <w:szCs w:val="20"/>
          <w:color w:val="3D3D3D"/>
        </w:rPr>
        <w:t>including</w:t>
      </w:r>
      <w:r>
        <w:rPr>
          <w:rFonts w:ascii="Times New Roman" w:cs="Times New Roman" w:eastAsia="Times New Roman" w:hAnsi="Times New Roman"/>
          <w:sz w:val="20"/>
          <w:szCs w:val="20"/>
          <w:color w:val="282828"/>
        </w:rPr>
        <w:t xml:space="preserve"> the </w:t>
      </w:r>
      <w:r>
        <w:rPr>
          <w:rFonts w:ascii="Times New Roman" w:cs="Times New Roman" w:eastAsia="Times New Roman" w:hAnsi="Times New Roman"/>
          <w:sz w:val="20"/>
          <w:szCs w:val="20"/>
          <w:color w:val="3D3D3D"/>
        </w:rPr>
        <w:t>Severance Period set forth in this</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D3D3D"/>
        </w:rPr>
        <w:t>Subsection 5(f), and (ii</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3D3D3D"/>
        </w:rPr>
        <w:t xml:space="preserve">) if and </w:t>
      </w:r>
      <w:r>
        <w:rPr>
          <w:rFonts w:ascii="Times New Roman" w:cs="Times New Roman" w:eastAsia="Times New Roman" w:hAnsi="Times New Roman"/>
          <w:sz w:val="20"/>
          <w:szCs w:val="20"/>
          <w:color w:val="282828"/>
        </w:rPr>
        <w:t>to the</w:t>
      </w:r>
      <w:r>
        <w:rPr>
          <w:rFonts w:ascii="Times New Roman" w:cs="Times New Roman" w:eastAsia="Times New Roman" w:hAnsi="Times New Roman"/>
          <w:sz w:val="20"/>
          <w:szCs w:val="20"/>
          <w:color w:val="3D3D3D"/>
        </w:rPr>
        <w:t xml:space="preserve"> extent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Executive </w:t>
      </w:r>
      <w:r>
        <w:rPr>
          <w:rFonts w:ascii="Times New Roman" w:cs="Times New Roman" w:eastAsia="Times New Roman" w:hAnsi="Times New Roman"/>
          <w:sz w:val="20"/>
          <w:szCs w:val="20"/>
          <w:color w:val="282828"/>
        </w:rPr>
        <w:t>timely</w:t>
      </w:r>
      <w:r>
        <w:rPr>
          <w:rFonts w:ascii="Times New Roman" w:cs="Times New Roman" w:eastAsia="Times New Roman" w:hAnsi="Times New Roman"/>
          <w:sz w:val="20"/>
          <w:szCs w:val="20"/>
          <w:color w:val="3D3D3D"/>
        </w:rPr>
        <w:t xml:space="preserve"> elects COBRA continuation coverage, pay the Executive, no less frequently </w:t>
      </w:r>
      <w:r>
        <w:rPr>
          <w:rFonts w:ascii="Times New Roman" w:cs="Times New Roman" w:eastAsia="Times New Roman" w:hAnsi="Times New Roman"/>
          <w:sz w:val="20"/>
          <w:szCs w:val="20"/>
          <w:color w:val="282828"/>
        </w:rPr>
        <w:t xml:space="preserve">than </w:t>
      </w:r>
      <w:r>
        <w:rPr>
          <w:rFonts w:ascii="Times New Roman" w:cs="Times New Roman" w:eastAsia="Times New Roman" w:hAnsi="Times New Roman"/>
          <w:sz w:val="20"/>
          <w:szCs w:val="20"/>
          <w:color w:val="3D3D3D"/>
        </w:rPr>
        <w:t>monthly, the cost of COBRA premiums for a period of</w:t>
      </w:r>
      <w:r>
        <w:rPr>
          <w:rFonts w:ascii="Times New Roman" w:cs="Times New Roman" w:eastAsia="Times New Roman" w:hAnsi="Times New Roman"/>
          <w:sz w:val="20"/>
          <w:szCs w:val="20"/>
          <w:color w:val="282828"/>
        </w:rPr>
        <w:t xml:space="preserve"> 18 </w:t>
      </w:r>
      <w:r>
        <w:rPr>
          <w:rFonts w:ascii="Times New Roman" w:cs="Times New Roman" w:eastAsia="Times New Roman" w:hAnsi="Times New Roman"/>
          <w:sz w:val="20"/>
          <w:szCs w:val="20"/>
          <w:color w:val="3D3D3D"/>
        </w:rPr>
        <w:t>months or such lesser</w:t>
      </w:r>
      <w:r>
        <w:rPr>
          <w:rFonts w:ascii="Times New Roman" w:cs="Times New Roman" w:eastAsia="Times New Roman" w:hAnsi="Times New Roman"/>
          <w:sz w:val="20"/>
          <w:szCs w:val="20"/>
          <w:color w:val="282828"/>
        </w:rPr>
        <w:t xml:space="preserve"> period </w:t>
      </w:r>
      <w:r>
        <w:rPr>
          <w:rFonts w:ascii="Times New Roman" w:cs="Times New Roman" w:eastAsia="Times New Roman" w:hAnsi="Times New Roman"/>
          <w:sz w:val="20"/>
          <w:szCs w:val="20"/>
          <w:color w:val="3D3D3D"/>
        </w:rPr>
        <w:t>as the Execut</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3D3D3D"/>
        </w:rPr>
        <w:t>ve continues to have COBRA</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D3D3D"/>
        </w:rPr>
        <w:t>continuation coverage.</w:t>
      </w:r>
    </w:p>
    <w:p>
      <w:pPr>
        <w:spacing w:after="0" w:line="21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3D3D3D"/>
        </w:rPr>
        <w:t>If the Executive</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D3D3D"/>
        </w:rPr>
        <w:t>s employment shall be term</w:t>
      </w:r>
      <w:r>
        <w:rPr>
          <w:rFonts w:ascii="Times New Roman" w:cs="Times New Roman" w:eastAsia="Times New Roman" w:hAnsi="Times New Roman"/>
          <w:sz w:val="20"/>
          <w:szCs w:val="20"/>
          <w:color w:val="565656"/>
        </w:rPr>
        <w:t>in</w:t>
      </w:r>
      <w:r>
        <w:rPr>
          <w:rFonts w:ascii="Times New Roman" w:cs="Times New Roman" w:eastAsia="Times New Roman" w:hAnsi="Times New Roman"/>
          <w:sz w:val="20"/>
          <w:szCs w:val="20"/>
          <w:color w:val="3D3D3D"/>
        </w:rPr>
        <w:t xml:space="preserve">ated by reason of death, the estate of the Executive shall be paid all sums otherwise payable to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Executive through the end of th</w:t>
      </w:r>
      <w:r>
        <w:rPr>
          <w:rFonts w:ascii="Times New Roman" w:cs="Times New Roman" w:eastAsia="Times New Roman" w:hAnsi="Times New Roman"/>
          <w:sz w:val="20"/>
          <w:szCs w:val="20"/>
          <w:color w:val="565656"/>
        </w:rPr>
        <w:t>e</w:t>
      </w:r>
      <w:r>
        <w:rPr>
          <w:rFonts w:ascii="Times New Roman" w:cs="Times New Roman" w:eastAsia="Times New Roman" w:hAnsi="Times New Roman"/>
          <w:sz w:val="20"/>
          <w:szCs w:val="20"/>
          <w:color w:val="3D3D3D"/>
        </w:rPr>
        <w:t xml:space="preserve"> third month after the month in which the death of the Executive occurred</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 including all bo</w:t>
      </w:r>
      <w:r>
        <w:rPr>
          <w:rFonts w:ascii="Times New Roman" w:cs="Times New Roman" w:eastAsia="Times New Roman" w:hAnsi="Times New Roman"/>
          <w:sz w:val="20"/>
          <w:szCs w:val="20"/>
          <w:color w:val="565656"/>
        </w:rPr>
        <w:t>n</w:t>
      </w:r>
      <w:r>
        <w:rPr>
          <w:rFonts w:ascii="Times New Roman" w:cs="Times New Roman" w:eastAsia="Times New Roman" w:hAnsi="Times New Roman"/>
          <w:sz w:val="20"/>
          <w:szCs w:val="20"/>
          <w:color w:val="3D3D3D"/>
        </w:rPr>
        <w:t xml:space="preserve">us or other incentive benefits accrued or accruable to the Executive through the end of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month in which the death of the Executive occurred, on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same basis as if the Execut</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3D3D3D"/>
        </w:rPr>
        <w:t xml:space="preserve">ve had continued employment through such times, and the Company shall have </w:t>
      </w:r>
      <w:r>
        <w:rPr>
          <w:rFonts w:ascii="Times New Roman" w:cs="Times New Roman" w:eastAsia="Times New Roman" w:hAnsi="Times New Roman"/>
          <w:sz w:val="20"/>
          <w:szCs w:val="20"/>
          <w:color w:val="282828"/>
        </w:rPr>
        <w:t>no</w:t>
      </w:r>
      <w:r>
        <w:rPr>
          <w:rFonts w:ascii="Times New Roman" w:cs="Times New Roman" w:eastAsia="Times New Roman" w:hAnsi="Times New Roman"/>
          <w:sz w:val="20"/>
          <w:szCs w:val="20"/>
          <w:color w:val="3D3D3D"/>
        </w:rPr>
        <w:t xml:space="preserve"> further obligations </w:t>
      </w:r>
      <w:r>
        <w:rPr>
          <w:rFonts w:ascii="Times New Roman" w:cs="Times New Roman" w:eastAsia="Times New Roman" w:hAnsi="Times New Roman"/>
          <w:sz w:val="20"/>
          <w:szCs w:val="20"/>
          <w:color w:val="565656"/>
        </w:rPr>
        <w:t>t</w:t>
      </w:r>
      <w:r>
        <w:rPr>
          <w:rFonts w:ascii="Times New Roman" w:cs="Times New Roman" w:eastAsia="Times New Roman" w:hAnsi="Times New Roman"/>
          <w:sz w:val="20"/>
          <w:szCs w:val="20"/>
          <w:color w:val="3D3D3D"/>
        </w:rPr>
        <w:t>o the Executive under this Agre</w:t>
      </w:r>
      <w:r>
        <w:rPr>
          <w:rFonts w:ascii="Times New Roman" w:cs="Times New Roman" w:eastAsia="Times New Roman" w:hAnsi="Times New Roman"/>
          <w:sz w:val="20"/>
          <w:szCs w:val="20"/>
          <w:color w:val="565656"/>
        </w:rPr>
        <w:t>e</w:t>
      </w:r>
      <w:r>
        <w:rPr>
          <w:rFonts w:ascii="Times New Roman" w:cs="Times New Roman" w:eastAsia="Times New Roman" w:hAnsi="Times New Roman"/>
          <w:sz w:val="20"/>
          <w:szCs w:val="20"/>
          <w:color w:val="3D3D3D"/>
        </w:rPr>
        <w:t>ment.</w:t>
      </w:r>
    </w:p>
    <w:p>
      <w:pPr>
        <w:spacing w:after="0" w:line="208"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0"/>
          <w:szCs w:val="20"/>
          <w:color w:val="565656"/>
        </w:rPr>
        <w:t xml:space="preserve">If </w:t>
      </w:r>
      <w:r>
        <w:rPr>
          <w:rFonts w:ascii="Times New Roman" w:cs="Times New Roman" w:eastAsia="Times New Roman" w:hAnsi="Times New Roman"/>
          <w:sz w:val="20"/>
          <w:szCs w:val="20"/>
          <w:color w:val="3D3D3D"/>
        </w:rPr>
        <w:t>the Executive's employment is</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82828"/>
        </w:rPr>
        <w:t>terminated</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by reason of disability as determined under the Company</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s</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82828"/>
        </w:rPr>
        <w:t>long</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term disability plan, the</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D3D3D"/>
        </w:rPr>
        <w:t>Executive or the person charged with legal responsibility for the Executive</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D3D3D"/>
        </w:rPr>
        <w:t xml:space="preserve">s estate shall be paid all sums otherwise payable to the Executive, including the bonus and other benefits accrued or accruable to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D3D3D"/>
        </w:rPr>
        <w:t xml:space="preserve"> Executive, on the same basis as if the Executive had continu</w:t>
      </w:r>
      <w:r>
        <w:rPr>
          <w:rFonts w:ascii="Times New Roman" w:cs="Times New Roman" w:eastAsia="Times New Roman" w:hAnsi="Times New Roman"/>
          <w:sz w:val="20"/>
          <w:szCs w:val="20"/>
          <w:color w:val="565656"/>
        </w:rPr>
        <w:t>e</w:t>
      </w:r>
      <w:r>
        <w:rPr>
          <w:rFonts w:ascii="Times New Roman" w:cs="Times New Roman" w:eastAsia="Times New Roman" w:hAnsi="Times New Roman"/>
          <w:sz w:val="20"/>
          <w:szCs w:val="20"/>
          <w:color w:val="3D3D3D"/>
        </w:rPr>
        <w:t>d employmen</w:t>
      </w:r>
      <w:r>
        <w:rPr>
          <w:rFonts w:ascii="Times New Roman" w:cs="Times New Roman" w:eastAsia="Times New Roman" w:hAnsi="Times New Roman"/>
          <w:sz w:val="20"/>
          <w:szCs w:val="20"/>
          <w:color w:val="565656"/>
        </w:rPr>
        <w:t>t</w:t>
      </w:r>
      <w:r>
        <w:rPr>
          <w:rFonts w:ascii="Times New Roman" w:cs="Times New Roman" w:eastAsia="Times New Roman" w:hAnsi="Times New Roman"/>
          <w:sz w:val="20"/>
          <w:szCs w:val="20"/>
          <w:color w:val="3D3D3D"/>
        </w:rPr>
        <w:t xml:space="preserve"> through the date of disability, and the Company shall </w:t>
      </w:r>
      <w:r>
        <w:rPr>
          <w:rFonts w:ascii="Times New Roman" w:cs="Times New Roman" w:eastAsia="Times New Roman" w:hAnsi="Times New Roman"/>
          <w:sz w:val="20"/>
          <w:szCs w:val="20"/>
          <w:color w:val="282828"/>
        </w:rPr>
        <w:t>have no</w:t>
      </w:r>
      <w:r>
        <w:rPr>
          <w:rFonts w:ascii="Times New Roman" w:cs="Times New Roman" w:eastAsia="Times New Roman" w:hAnsi="Times New Roman"/>
          <w:sz w:val="20"/>
          <w:szCs w:val="20"/>
          <w:color w:val="3D3D3D"/>
        </w:rPr>
        <w:t xml:space="preserve"> further obligations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3D3D3D"/>
        </w:rPr>
        <w:t xml:space="preserve"> the Executi</w:t>
      </w:r>
      <w:r>
        <w:rPr>
          <w:rFonts w:ascii="Times New Roman" w:cs="Times New Roman" w:eastAsia="Times New Roman" w:hAnsi="Times New Roman"/>
          <w:sz w:val="20"/>
          <w:szCs w:val="20"/>
          <w:color w:val="565656"/>
        </w:rPr>
        <w:t>v</w:t>
      </w:r>
      <w:r>
        <w:rPr>
          <w:rFonts w:ascii="Times New Roman" w:cs="Times New Roman" w:eastAsia="Times New Roman" w:hAnsi="Times New Roman"/>
          <w:sz w:val="20"/>
          <w:szCs w:val="20"/>
          <w:color w:val="3D3D3D"/>
        </w:rPr>
        <w:t>e under this Agreem</w:t>
      </w:r>
      <w:r>
        <w:rPr>
          <w:rFonts w:ascii="Times New Roman" w:cs="Times New Roman" w:eastAsia="Times New Roman" w:hAnsi="Times New Roman"/>
          <w:sz w:val="20"/>
          <w:szCs w:val="20"/>
          <w:color w:val="565656"/>
        </w:rPr>
        <w:t>e</w:t>
      </w:r>
      <w:r>
        <w:rPr>
          <w:rFonts w:ascii="Times New Roman" w:cs="Times New Roman" w:eastAsia="Times New Roman" w:hAnsi="Times New Roman"/>
          <w:sz w:val="20"/>
          <w:szCs w:val="20"/>
          <w:color w:val="3D3D3D"/>
        </w:rPr>
        <w:t>nt.</w:t>
      </w:r>
    </w:p>
    <w:p>
      <w:pPr>
        <w:sectPr>
          <w:pgSz w:w="11900" w:h="16838" w:orient="portrait"/>
          <w:cols w:equalWidth="0" w:num="1">
            <w:col w:w="11300"/>
          </w:cols>
          <w:pgMar w:left="360" w:top="441" w:right="239" w:bottom="1440" w:gutter="0" w:footer="0" w:header="0"/>
        </w:sectPr>
      </w:pPr>
    </w:p>
    <w:bookmarkStart w:id="123" w:name="page124"/>
    <w:bookmarkEnd w:id="123"/>
    <w:p>
      <w:pPr>
        <w:ind w:left="24" w:right="20" w:firstLine="648"/>
        <w:spacing w:after="0" w:line="268" w:lineRule="auto"/>
        <w:rPr>
          <w:sz w:val="20"/>
          <w:szCs w:val="20"/>
          <w:color w:val="auto"/>
        </w:rPr>
      </w:pPr>
      <w:r>
        <w:rPr>
          <w:rFonts w:ascii="Times New Roman" w:cs="Times New Roman" w:eastAsia="Times New Roman" w:hAnsi="Times New Roman"/>
          <w:sz w:val="20"/>
          <w:szCs w:val="20"/>
          <w:color w:val="3F3F3F"/>
        </w:rPr>
        <w:t xml:space="preserve">If </w:t>
      </w:r>
      <w:r>
        <w:rPr>
          <w:rFonts w:ascii="Times New Roman" w:cs="Times New Roman" w:eastAsia="Times New Roman" w:hAnsi="Times New Roman"/>
          <w:sz w:val="20"/>
          <w:szCs w:val="20"/>
          <w:color w:val="2F2F2F"/>
        </w:rPr>
        <w:t>the Executive's employment shall be</w:t>
      </w:r>
      <w:r>
        <w:rPr>
          <w:rFonts w:ascii="Times New Roman" w:cs="Times New Roman" w:eastAsia="Times New Roman" w:hAnsi="Times New Roman"/>
          <w:sz w:val="20"/>
          <w:szCs w:val="20"/>
          <w:color w:val="3F3F3F"/>
        </w:rPr>
        <w:t xml:space="preserve"> terminated fo</w:t>
      </w:r>
      <w:r>
        <w:rPr>
          <w:rFonts w:ascii="Times New Roman" w:cs="Times New Roman" w:eastAsia="Times New Roman" w:hAnsi="Times New Roman"/>
          <w:sz w:val="20"/>
          <w:szCs w:val="20"/>
          <w:color w:val="1D1D1D"/>
        </w:rPr>
        <w:t>r</w:t>
      </w:r>
      <w:r>
        <w:rPr>
          <w:rFonts w:ascii="Times New Roman" w:cs="Times New Roman" w:eastAsia="Times New Roman" w:hAnsi="Times New Roman"/>
          <w:sz w:val="20"/>
          <w:szCs w:val="20"/>
          <w:color w:val="3F3F3F"/>
        </w:rPr>
        <w:t xml:space="preserve"> Cause, the Company </w:t>
      </w:r>
      <w:r>
        <w:rPr>
          <w:rFonts w:ascii="Times New Roman" w:cs="Times New Roman" w:eastAsia="Times New Roman" w:hAnsi="Times New Roman"/>
          <w:sz w:val="20"/>
          <w:szCs w:val="20"/>
          <w:color w:val="2F2F2F"/>
        </w:rPr>
        <w:t>shall pay the Executive his</w:t>
      </w:r>
      <w:r>
        <w:rPr>
          <w:rFonts w:ascii="Times New Roman" w:cs="Times New Roman" w:eastAsia="Times New Roman" w:hAnsi="Times New Roman"/>
          <w:sz w:val="20"/>
          <w:szCs w:val="20"/>
          <w:color w:val="3F3F3F"/>
        </w:rPr>
        <w:t xml:space="preserve"> Base Salary </w:t>
      </w:r>
      <w:r>
        <w:rPr>
          <w:rFonts w:ascii="Times New Roman" w:cs="Times New Roman" w:eastAsia="Times New Roman" w:hAnsi="Times New Roman"/>
          <w:sz w:val="20"/>
          <w:szCs w:val="20"/>
          <w:color w:val="2F2F2F"/>
        </w:rPr>
        <w:t>through the</w:t>
      </w:r>
      <w:r>
        <w:rPr>
          <w:rFonts w:ascii="Times New Roman" w:cs="Times New Roman" w:eastAsia="Times New Roman" w:hAnsi="Times New Roman"/>
          <w:sz w:val="20"/>
          <w:szCs w:val="20"/>
          <w:color w:val="3F3F3F"/>
        </w:rPr>
        <w:t xml:space="preserve"> date </w:t>
      </w:r>
      <w:r>
        <w:rPr>
          <w:rFonts w:ascii="Times New Roman" w:cs="Times New Roman" w:eastAsia="Times New Roman" w:hAnsi="Times New Roman"/>
          <w:sz w:val="20"/>
          <w:szCs w:val="20"/>
          <w:color w:val="2F2F2F"/>
        </w:rPr>
        <w:t xml:space="preserve">of </w:t>
      </w:r>
      <w:r>
        <w:rPr>
          <w:rFonts w:ascii="Times New Roman" w:cs="Times New Roman" w:eastAsia="Times New Roman" w:hAnsi="Times New Roman"/>
          <w:sz w:val="20"/>
          <w:szCs w:val="20"/>
          <w:color w:val="3F3F3F"/>
        </w:rPr>
        <w:t>termination specified</w:t>
      </w:r>
      <w:r>
        <w:rPr>
          <w:rFonts w:ascii="Times New Roman" w:cs="Times New Roman" w:eastAsia="Times New Roman" w:hAnsi="Times New Roman"/>
          <w:sz w:val="20"/>
          <w:szCs w:val="20"/>
          <w:color w:val="2F2F2F"/>
        </w:rPr>
        <w:t xml:space="preserve"> in </w:t>
      </w:r>
      <w:r>
        <w:rPr>
          <w:rFonts w:ascii="Times New Roman" w:cs="Times New Roman" w:eastAsia="Times New Roman" w:hAnsi="Times New Roman"/>
          <w:sz w:val="20"/>
          <w:szCs w:val="20"/>
          <w:color w:val="3F3F3F"/>
        </w:rPr>
        <w:t>the</w:t>
      </w:r>
      <w:r>
        <w:rPr>
          <w:rFonts w:ascii="Times New Roman" w:cs="Times New Roman" w:eastAsia="Times New Roman" w:hAnsi="Times New Roman"/>
          <w:sz w:val="20"/>
          <w:szCs w:val="20"/>
          <w:color w:val="2F2F2F"/>
        </w:rPr>
        <w:t xml:space="preserve"> Notice </w:t>
      </w:r>
      <w:r>
        <w:rPr>
          <w:rFonts w:ascii="Times New Roman" w:cs="Times New Roman" w:eastAsia="Times New Roman" w:hAnsi="Times New Roman"/>
          <w:sz w:val="20"/>
          <w:szCs w:val="20"/>
          <w:color w:val="3F3F3F"/>
        </w:rPr>
        <w:t>of</w:t>
      </w:r>
      <w:r>
        <w:rPr>
          <w:rFonts w:ascii="Times New Roman" w:cs="Times New Roman" w:eastAsia="Times New Roman" w:hAnsi="Times New Roman"/>
          <w:sz w:val="20"/>
          <w:szCs w:val="20"/>
          <w:color w:val="2F2F2F"/>
        </w:rPr>
        <w:t xml:space="preserve"> Termination and re</w:t>
      </w:r>
      <w:r>
        <w:rPr>
          <w:rFonts w:ascii="Times New Roman" w:cs="Times New Roman" w:eastAsia="Times New Roman" w:hAnsi="Times New Roman"/>
          <w:sz w:val="20"/>
          <w:szCs w:val="20"/>
          <w:color w:val="545454"/>
        </w:rPr>
        <w:t>i</w:t>
      </w:r>
      <w:r>
        <w:rPr>
          <w:rFonts w:ascii="Times New Roman" w:cs="Times New Roman" w:eastAsia="Times New Roman" w:hAnsi="Times New Roman"/>
          <w:sz w:val="20"/>
          <w:szCs w:val="20"/>
          <w:color w:val="2F2F2F"/>
        </w:rPr>
        <w:t>mbursements o</w:t>
      </w:r>
      <w:r>
        <w:rPr>
          <w:rFonts w:ascii="Times New Roman" w:cs="Times New Roman" w:eastAsia="Times New Roman" w:hAnsi="Times New Roman"/>
          <w:sz w:val="20"/>
          <w:szCs w:val="20"/>
          <w:color w:val="545454"/>
        </w:rPr>
        <w:t>ther</w:t>
      </w:r>
      <w:r>
        <w:rPr>
          <w:rFonts w:ascii="Times New Roman" w:cs="Times New Roman" w:eastAsia="Times New Roman" w:hAnsi="Times New Roman"/>
          <w:sz w:val="20"/>
          <w:szCs w:val="20"/>
          <w:color w:val="2F2F2F"/>
        </w:rPr>
        <w:t xml:space="preserve">wise </w:t>
      </w:r>
      <w:r>
        <w:rPr>
          <w:rFonts w:ascii="Times New Roman" w:cs="Times New Roman" w:eastAsia="Times New Roman" w:hAnsi="Times New Roman"/>
          <w:sz w:val="20"/>
          <w:szCs w:val="20"/>
          <w:color w:val="3F3F3F"/>
        </w:rPr>
        <w:t>payable</w:t>
      </w:r>
      <w:r>
        <w:rPr>
          <w:rFonts w:ascii="Times New Roman" w:cs="Times New Roman" w:eastAsia="Times New Roman" w:hAnsi="Times New Roman"/>
          <w:sz w:val="20"/>
          <w:szCs w:val="20"/>
          <w:color w:val="2F2F2F"/>
        </w:rPr>
        <w:t xml:space="preserve"> to </w:t>
      </w:r>
      <w:r>
        <w:rPr>
          <w:rFonts w:ascii="Times New Roman" w:cs="Times New Roman" w:eastAsia="Times New Roman" w:hAnsi="Times New Roman"/>
          <w:sz w:val="20"/>
          <w:szCs w:val="20"/>
          <w:color w:val="3F3F3F"/>
        </w:rPr>
        <w:t>the</w:t>
      </w:r>
      <w:r>
        <w:rPr>
          <w:rFonts w:ascii="Times New Roman" w:cs="Times New Roman" w:eastAsia="Times New Roman" w:hAnsi="Times New Roman"/>
          <w:sz w:val="20"/>
          <w:szCs w:val="20"/>
          <w:color w:val="2F2F2F"/>
        </w:rPr>
        <w:t xml:space="preserve"> Executive, and </w:t>
      </w:r>
      <w:r>
        <w:rPr>
          <w:rFonts w:ascii="Times New Roman" w:cs="Times New Roman" w:eastAsia="Times New Roman" w:hAnsi="Times New Roman"/>
          <w:sz w:val="20"/>
          <w:szCs w:val="20"/>
          <w:color w:val="3F3F3F"/>
        </w:rPr>
        <w:t>the Company</w:t>
      </w:r>
      <w:r>
        <w:rPr>
          <w:rFonts w:ascii="Times New Roman" w:cs="Times New Roman" w:eastAsia="Times New Roman" w:hAnsi="Times New Roman"/>
          <w:sz w:val="20"/>
          <w:szCs w:val="20"/>
          <w:color w:val="2F2F2F"/>
        </w:rPr>
        <w:t xml:space="preserve"> shall </w:t>
      </w:r>
      <w:r>
        <w:rPr>
          <w:rFonts w:ascii="Times New Roman" w:cs="Times New Roman" w:eastAsia="Times New Roman" w:hAnsi="Times New Roman"/>
          <w:sz w:val="20"/>
          <w:szCs w:val="20"/>
          <w:color w:val="3F3F3F"/>
        </w:rPr>
        <w:t>have</w:t>
      </w:r>
      <w:r>
        <w:rPr>
          <w:rFonts w:ascii="Times New Roman" w:cs="Times New Roman" w:eastAsia="Times New Roman" w:hAnsi="Times New Roman"/>
          <w:sz w:val="20"/>
          <w:szCs w:val="20"/>
          <w:color w:val="2F2F2F"/>
        </w:rPr>
        <w:t xml:space="preserve"> no further </w:t>
      </w:r>
      <w:r>
        <w:rPr>
          <w:rFonts w:ascii="Times New Roman" w:cs="Times New Roman" w:eastAsia="Times New Roman" w:hAnsi="Times New Roman"/>
          <w:sz w:val="20"/>
          <w:szCs w:val="20"/>
          <w:color w:val="3F3F3F"/>
        </w:rPr>
        <w:t>obligations to</w:t>
      </w:r>
      <w:r>
        <w:rPr>
          <w:rFonts w:ascii="Times New Roman" w:cs="Times New Roman" w:eastAsia="Times New Roman" w:hAnsi="Times New Roman"/>
          <w:sz w:val="20"/>
          <w:szCs w:val="20"/>
          <w:color w:val="2F2F2F"/>
        </w:rPr>
        <w:t xml:space="preserve"> the </w:t>
      </w:r>
      <w:r>
        <w:rPr>
          <w:rFonts w:ascii="Times New Roman" w:cs="Times New Roman" w:eastAsia="Times New Roman" w:hAnsi="Times New Roman"/>
          <w:sz w:val="20"/>
          <w:szCs w:val="20"/>
          <w:color w:val="3F3F3F"/>
        </w:rPr>
        <w:t>Executive under</w:t>
      </w:r>
      <w:r>
        <w:rPr>
          <w:rFonts w:ascii="Times New Roman" w:cs="Times New Roman" w:eastAsia="Times New Roman" w:hAnsi="Times New Roman"/>
          <w:sz w:val="20"/>
          <w:szCs w:val="20"/>
          <w:color w:val="2F2F2F"/>
        </w:rPr>
        <w:t xml:space="preserve"> this </w:t>
      </w:r>
      <w:r>
        <w:rPr>
          <w:rFonts w:ascii="Times New Roman" w:cs="Times New Roman" w:eastAsia="Times New Roman" w:hAnsi="Times New Roman"/>
          <w:sz w:val="20"/>
          <w:szCs w:val="20"/>
          <w:color w:val="3F3F3F"/>
        </w:rPr>
        <w:t>Agreement.</w:t>
      </w:r>
    </w:p>
    <w:p>
      <w:pPr>
        <w:spacing w:after="0" w:line="188" w:lineRule="exact"/>
        <w:rPr>
          <w:sz w:val="20"/>
          <w:szCs w:val="20"/>
          <w:color w:val="auto"/>
        </w:rPr>
      </w:pPr>
    </w:p>
    <w:p>
      <w:pPr>
        <w:ind w:left="4" w:right="80" w:firstLine="648"/>
        <w:spacing w:after="0" w:line="286" w:lineRule="auto"/>
        <w:rPr>
          <w:sz w:val="20"/>
          <w:szCs w:val="20"/>
          <w:color w:val="auto"/>
        </w:rPr>
      </w:pPr>
      <w:r>
        <w:rPr>
          <w:rFonts w:ascii="Times New Roman" w:cs="Times New Roman" w:eastAsia="Times New Roman" w:hAnsi="Times New Roman"/>
          <w:sz w:val="19"/>
          <w:szCs w:val="19"/>
          <w:color w:val="3F3F3F"/>
        </w:rPr>
        <w:t xml:space="preserve">Unless </w:t>
      </w:r>
      <w:r>
        <w:rPr>
          <w:rFonts w:ascii="Times New Roman" w:cs="Times New Roman" w:eastAsia="Times New Roman" w:hAnsi="Times New Roman"/>
          <w:sz w:val="19"/>
          <w:szCs w:val="19"/>
          <w:color w:val="2F2F2F"/>
        </w:rPr>
        <w:t>such</w:t>
      </w:r>
      <w:r>
        <w:rPr>
          <w:rFonts w:ascii="Times New Roman" w:cs="Times New Roman" w:eastAsia="Times New Roman" w:hAnsi="Times New Roman"/>
          <w:sz w:val="19"/>
          <w:szCs w:val="19"/>
          <w:color w:val="3F3F3F"/>
        </w:rPr>
        <w:t xml:space="preserve"> termination occurs within two (2) years </w:t>
      </w:r>
      <w:r>
        <w:rPr>
          <w:rFonts w:ascii="Times New Roman" w:cs="Times New Roman" w:eastAsia="Times New Roman" w:hAnsi="Times New Roman"/>
          <w:sz w:val="19"/>
          <w:szCs w:val="19"/>
          <w:color w:val="2F2F2F"/>
        </w:rPr>
        <w:t>following a</w:t>
      </w:r>
      <w:r>
        <w:rPr>
          <w:rFonts w:ascii="Times New Roman" w:cs="Times New Roman" w:eastAsia="Times New Roman" w:hAnsi="Times New Roman"/>
          <w:sz w:val="19"/>
          <w:szCs w:val="19"/>
          <w:color w:val="3F3F3F"/>
        </w:rPr>
        <w:t xml:space="preserve"> Change in </w:t>
      </w:r>
      <w:r>
        <w:rPr>
          <w:rFonts w:ascii="Times New Roman" w:cs="Times New Roman" w:eastAsia="Times New Roman" w:hAnsi="Times New Roman"/>
          <w:sz w:val="19"/>
          <w:szCs w:val="19"/>
          <w:color w:val="2F2F2F"/>
        </w:rPr>
        <w:t>Control</w:t>
      </w:r>
      <w:r>
        <w:rPr>
          <w:rFonts w:ascii="Times New Roman" w:cs="Times New Roman" w:eastAsia="Times New Roman" w:hAnsi="Times New Roman"/>
          <w:sz w:val="19"/>
          <w:szCs w:val="19"/>
          <w:color w:val="545454"/>
        </w:rPr>
        <w:t>,</w:t>
      </w:r>
      <w:r>
        <w:rPr>
          <w:rFonts w:ascii="Times New Roman" w:cs="Times New Roman" w:eastAsia="Times New Roman" w:hAnsi="Times New Roman"/>
          <w:sz w:val="19"/>
          <w:szCs w:val="19"/>
          <w:color w:val="3F3F3F"/>
        </w:rPr>
        <w:t xml:space="preserve"> </w:t>
      </w:r>
      <w:r>
        <w:rPr>
          <w:rFonts w:ascii="Times New Roman" w:cs="Times New Roman" w:eastAsia="Times New Roman" w:hAnsi="Times New Roman"/>
          <w:sz w:val="19"/>
          <w:szCs w:val="19"/>
          <w:color w:val="2F2F2F"/>
        </w:rPr>
        <w:t>if</w:t>
      </w:r>
      <w:r>
        <w:rPr>
          <w:rFonts w:ascii="Times New Roman" w:cs="Times New Roman" w:eastAsia="Times New Roman" w:hAnsi="Times New Roman"/>
          <w:sz w:val="19"/>
          <w:szCs w:val="19"/>
          <w:color w:val="3F3F3F"/>
        </w:rPr>
        <w:t xml:space="preserve"> the Executive's employment </w:t>
      </w:r>
      <w:r>
        <w:rPr>
          <w:rFonts w:ascii="Times New Roman" w:cs="Times New Roman" w:eastAsia="Times New Roman" w:hAnsi="Times New Roman"/>
          <w:sz w:val="19"/>
          <w:szCs w:val="19"/>
          <w:color w:val="2F2F2F"/>
        </w:rPr>
        <w:t>shall be</w:t>
      </w:r>
      <w:r>
        <w:rPr>
          <w:rFonts w:ascii="Times New Roman" w:cs="Times New Roman" w:eastAsia="Times New Roman" w:hAnsi="Times New Roman"/>
          <w:sz w:val="19"/>
          <w:szCs w:val="19"/>
          <w:color w:val="3F3F3F"/>
        </w:rPr>
        <w:t xml:space="preserve"> </w:t>
      </w:r>
      <w:r>
        <w:rPr>
          <w:rFonts w:ascii="Times New Roman" w:cs="Times New Roman" w:eastAsia="Times New Roman" w:hAnsi="Times New Roman"/>
          <w:sz w:val="19"/>
          <w:szCs w:val="19"/>
          <w:color w:val="2F2F2F"/>
        </w:rPr>
        <w:t xml:space="preserve">terminated </w:t>
      </w:r>
      <w:r>
        <w:rPr>
          <w:rFonts w:ascii="Times New Roman" w:cs="Times New Roman" w:eastAsia="Times New Roman" w:hAnsi="Times New Roman"/>
          <w:sz w:val="19"/>
          <w:szCs w:val="19"/>
          <w:color w:val="3F3F3F"/>
        </w:rPr>
        <w:t>by</w:t>
      </w:r>
      <w:r>
        <w:rPr>
          <w:rFonts w:ascii="Times New Roman" w:cs="Times New Roman" w:eastAsia="Times New Roman" w:hAnsi="Times New Roman"/>
          <w:sz w:val="19"/>
          <w:szCs w:val="19"/>
          <w:color w:val="2F2F2F"/>
        </w:rPr>
        <w:t xml:space="preserve"> the </w:t>
      </w:r>
      <w:r>
        <w:rPr>
          <w:rFonts w:ascii="Times New Roman" w:cs="Times New Roman" w:eastAsia="Times New Roman" w:hAnsi="Times New Roman"/>
          <w:sz w:val="19"/>
          <w:szCs w:val="19"/>
          <w:color w:val="3F3F3F"/>
        </w:rPr>
        <w:t>Company without Cause or by</w:t>
      </w:r>
      <w:r>
        <w:rPr>
          <w:rFonts w:ascii="Times New Roman" w:cs="Times New Roman" w:eastAsia="Times New Roman" w:hAnsi="Times New Roman"/>
          <w:sz w:val="19"/>
          <w:szCs w:val="19"/>
          <w:color w:val="2F2F2F"/>
        </w:rPr>
        <w:t xml:space="preserve"> the Execut</w:t>
      </w:r>
      <w:r>
        <w:rPr>
          <w:rFonts w:ascii="Times New Roman" w:cs="Times New Roman" w:eastAsia="Times New Roman" w:hAnsi="Times New Roman"/>
          <w:sz w:val="19"/>
          <w:szCs w:val="19"/>
          <w:color w:val="545454"/>
        </w:rPr>
        <w:t>iv</w:t>
      </w:r>
      <w:r>
        <w:rPr>
          <w:rFonts w:ascii="Times New Roman" w:cs="Times New Roman" w:eastAsia="Times New Roman" w:hAnsi="Times New Roman"/>
          <w:sz w:val="19"/>
          <w:szCs w:val="19"/>
          <w:color w:val="2F2F2F"/>
        </w:rPr>
        <w:t xml:space="preserve">e </w:t>
      </w:r>
      <w:r>
        <w:rPr>
          <w:rFonts w:ascii="Times New Roman" w:cs="Times New Roman" w:eastAsia="Times New Roman" w:hAnsi="Times New Roman"/>
          <w:sz w:val="19"/>
          <w:szCs w:val="19"/>
          <w:color w:val="3F3F3F"/>
        </w:rPr>
        <w:t>for Good Reason (a</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545454"/>
        </w:rPr>
        <w:t>"</w:t>
      </w:r>
      <w:r>
        <w:rPr>
          <w:rFonts w:ascii="Times New Roman" w:cs="Times New Roman" w:eastAsia="Times New Roman" w:hAnsi="Times New Roman"/>
          <w:sz w:val="19"/>
          <w:szCs w:val="19"/>
          <w:color w:val="2F2F2F"/>
        </w:rPr>
        <w:t xml:space="preserve"> Non-Change </w:t>
      </w:r>
      <w:r>
        <w:rPr>
          <w:rFonts w:ascii="Times New Roman" w:cs="Times New Roman" w:eastAsia="Times New Roman" w:hAnsi="Times New Roman"/>
          <w:sz w:val="19"/>
          <w:szCs w:val="19"/>
          <w:color w:val="3F3F3F"/>
        </w:rPr>
        <w:t>in Control Terminat</w:t>
      </w:r>
      <w:r>
        <w:rPr>
          <w:rFonts w:ascii="Times New Roman" w:cs="Times New Roman" w:eastAsia="Times New Roman" w:hAnsi="Times New Roman"/>
          <w:sz w:val="19"/>
          <w:szCs w:val="19"/>
          <w:color w:val="1D1D1D"/>
        </w:rPr>
        <w:t>i</w:t>
      </w:r>
      <w:r>
        <w:rPr>
          <w:rFonts w:ascii="Times New Roman" w:cs="Times New Roman" w:eastAsia="Times New Roman" w:hAnsi="Times New Roman"/>
          <w:sz w:val="19"/>
          <w:szCs w:val="19"/>
          <w:color w:val="3F3F3F"/>
        </w:rPr>
        <w:t>on"), the Company</w:t>
      </w:r>
      <w:r>
        <w:rPr>
          <w:rFonts w:ascii="Times New Roman" w:cs="Times New Roman" w:eastAsia="Times New Roman" w:hAnsi="Times New Roman"/>
          <w:sz w:val="19"/>
          <w:szCs w:val="19"/>
          <w:color w:val="2F2F2F"/>
        </w:rPr>
        <w:t xml:space="preserve"> shall </w:t>
      </w:r>
      <w:r>
        <w:rPr>
          <w:rFonts w:ascii="Times New Roman" w:cs="Times New Roman" w:eastAsia="Times New Roman" w:hAnsi="Times New Roman"/>
          <w:sz w:val="19"/>
          <w:szCs w:val="19"/>
          <w:color w:val="3F3F3F"/>
        </w:rPr>
        <w:t>(x) continue to pay the Executive</w:t>
      </w:r>
      <w:r>
        <w:rPr>
          <w:rFonts w:ascii="Times New Roman" w:cs="Times New Roman" w:eastAsia="Times New Roman" w:hAnsi="Times New Roman"/>
          <w:sz w:val="19"/>
          <w:szCs w:val="19"/>
          <w:color w:val="2F2F2F"/>
        </w:rPr>
        <w:t xml:space="preserve"> the </w:t>
      </w:r>
      <w:r>
        <w:rPr>
          <w:rFonts w:ascii="Times New Roman" w:cs="Times New Roman" w:eastAsia="Times New Roman" w:hAnsi="Times New Roman"/>
          <w:sz w:val="19"/>
          <w:szCs w:val="19"/>
          <w:color w:val="3F3F3F"/>
        </w:rPr>
        <w:t>Base Salary (at</w:t>
      </w:r>
      <w:r>
        <w:rPr>
          <w:rFonts w:ascii="Times New Roman" w:cs="Times New Roman" w:eastAsia="Times New Roman" w:hAnsi="Times New Roman"/>
          <w:sz w:val="19"/>
          <w:szCs w:val="19"/>
          <w:color w:val="2F2F2F"/>
        </w:rPr>
        <w:t xml:space="preserve"> the </w:t>
      </w:r>
      <w:r>
        <w:rPr>
          <w:rFonts w:ascii="Times New Roman" w:cs="Times New Roman" w:eastAsia="Times New Roman" w:hAnsi="Times New Roman"/>
          <w:sz w:val="19"/>
          <w:szCs w:val="19"/>
          <w:color w:val="3F3F3F"/>
        </w:rPr>
        <w:t>rate in</w:t>
      </w:r>
      <w:r>
        <w:rPr>
          <w:rFonts w:ascii="Times New Roman" w:cs="Times New Roman" w:eastAsia="Times New Roman" w:hAnsi="Times New Roman"/>
          <w:sz w:val="19"/>
          <w:szCs w:val="19"/>
          <w:color w:val="2F2F2F"/>
        </w:rPr>
        <w:t xml:space="preserve"> effect on </w:t>
      </w:r>
      <w:r>
        <w:rPr>
          <w:rFonts w:ascii="Times New Roman" w:cs="Times New Roman" w:eastAsia="Times New Roman" w:hAnsi="Times New Roman"/>
          <w:sz w:val="19"/>
          <w:szCs w:val="19"/>
          <w:color w:val="3F3F3F"/>
        </w:rPr>
        <w:t>the</w:t>
      </w:r>
      <w:r>
        <w:rPr>
          <w:rFonts w:ascii="Times New Roman" w:cs="Times New Roman" w:eastAsia="Times New Roman" w:hAnsi="Times New Roman"/>
          <w:sz w:val="19"/>
          <w:szCs w:val="19"/>
          <w:color w:val="2F2F2F"/>
        </w:rPr>
        <w:t xml:space="preserve"> date </w:t>
      </w:r>
      <w:r>
        <w:rPr>
          <w:rFonts w:ascii="Times New Roman" w:cs="Times New Roman" w:eastAsia="Times New Roman" w:hAnsi="Times New Roman"/>
          <w:sz w:val="19"/>
          <w:szCs w:val="19"/>
          <w:color w:val="3F3F3F"/>
        </w:rPr>
        <w:t>of</w:t>
      </w:r>
      <w:r>
        <w:rPr>
          <w:rFonts w:ascii="Times New Roman" w:cs="Times New Roman" w:eastAsia="Times New Roman" w:hAnsi="Times New Roman"/>
          <w:sz w:val="19"/>
          <w:szCs w:val="19"/>
          <w:color w:val="2F2F2F"/>
        </w:rPr>
        <w:t xml:space="preserve"> such termination) for </w:t>
      </w:r>
      <w:r>
        <w:rPr>
          <w:rFonts w:ascii="Times New Roman" w:cs="Times New Roman" w:eastAsia="Times New Roman" w:hAnsi="Times New Roman"/>
          <w:sz w:val="19"/>
          <w:szCs w:val="19"/>
          <w:color w:val="3F3F3F"/>
        </w:rPr>
        <w:t>a period of one (1) year</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3F3F3F"/>
        </w:rPr>
        <w:t>beginni</w:t>
      </w:r>
      <w:r>
        <w:rPr>
          <w:rFonts w:ascii="Times New Roman" w:cs="Times New Roman" w:eastAsia="Times New Roman" w:hAnsi="Times New Roman"/>
          <w:sz w:val="19"/>
          <w:szCs w:val="19"/>
          <w:color w:val="1D1D1D"/>
        </w:rPr>
        <w:t>n</w:t>
      </w:r>
      <w:r>
        <w:rPr>
          <w:rFonts w:ascii="Times New Roman" w:cs="Times New Roman" w:eastAsia="Times New Roman" w:hAnsi="Times New Roman"/>
          <w:sz w:val="19"/>
          <w:szCs w:val="19"/>
          <w:color w:val="3F3F3F"/>
        </w:rPr>
        <w:t xml:space="preserve">g </w:t>
      </w:r>
      <w:r>
        <w:rPr>
          <w:rFonts w:ascii="Times New Roman" w:cs="Times New Roman" w:eastAsia="Times New Roman" w:hAnsi="Times New Roman"/>
          <w:sz w:val="19"/>
          <w:szCs w:val="19"/>
          <w:color w:val="2F2F2F"/>
        </w:rPr>
        <w:t>six months</w:t>
      </w:r>
      <w:r>
        <w:rPr>
          <w:rFonts w:ascii="Times New Roman" w:cs="Times New Roman" w:eastAsia="Times New Roman" w:hAnsi="Times New Roman"/>
          <w:sz w:val="19"/>
          <w:szCs w:val="19"/>
          <w:color w:val="3F3F3F"/>
        </w:rPr>
        <w:t xml:space="preserve"> after </w:t>
      </w:r>
      <w:r>
        <w:rPr>
          <w:rFonts w:ascii="Times New Roman" w:cs="Times New Roman" w:eastAsia="Times New Roman" w:hAnsi="Times New Roman"/>
          <w:sz w:val="19"/>
          <w:szCs w:val="19"/>
          <w:color w:val="2F2F2F"/>
        </w:rPr>
        <w:t>the date</w:t>
      </w:r>
      <w:r>
        <w:rPr>
          <w:rFonts w:ascii="Times New Roman" w:cs="Times New Roman" w:eastAsia="Times New Roman" w:hAnsi="Times New Roman"/>
          <w:sz w:val="19"/>
          <w:szCs w:val="19"/>
          <w:color w:val="3F3F3F"/>
        </w:rPr>
        <w:t xml:space="preserve"> of such </w:t>
      </w:r>
      <w:r>
        <w:rPr>
          <w:rFonts w:ascii="Times New Roman" w:cs="Times New Roman" w:eastAsia="Times New Roman" w:hAnsi="Times New Roman"/>
          <w:sz w:val="19"/>
          <w:szCs w:val="19"/>
          <w:color w:val="2F2F2F"/>
        </w:rPr>
        <w:t>termination (such</w:t>
      </w:r>
      <w:r>
        <w:rPr>
          <w:rFonts w:ascii="Times New Roman" w:cs="Times New Roman" w:eastAsia="Times New Roman" w:hAnsi="Times New Roman"/>
          <w:sz w:val="19"/>
          <w:szCs w:val="19"/>
          <w:color w:val="3F3F3F"/>
        </w:rPr>
        <w:t xml:space="preserve"> one </w:t>
      </w:r>
      <w:r>
        <w:rPr>
          <w:rFonts w:ascii="Times New Roman" w:cs="Times New Roman" w:eastAsia="Times New Roman" w:hAnsi="Times New Roman"/>
          <w:sz w:val="19"/>
          <w:szCs w:val="19"/>
          <w:color w:val="2F2F2F"/>
        </w:rPr>
        <w:t>(1)</w:t>
      </w:r>
      <w:r>
        <w:rPr>
          <w:rFonts w:ascii="Times New Roman" w:cs="Times New Roman" w:eastAsia="Times New Roman" w:hAnsi="Times New Roman"/>
          <w:sz w:val="19"/>
          <w:szCs w:val="19"/>
          <w:color w:val="3F3F3F"/>
        </w:rPr>
        <w:t xml:space="preserve"> year </w:t>
      </w:r>
      <w:r>
        <w:rPr>
          <w:rFonts w:ascii="Times New Roman" w:cs="Times New Roman" w:eastAsia="Times New Roman" w:hAnsi="Times New Roman"/>
          <w:sz w:val="19"/>
          <w:szCs w:val="19"/>
          <w:color w:val="2F2F2F"/>
        </w:rPr>
        <w:t>period</w:t>
      </w:r>
      <w:r>
        <w:rPr>
          <w:rFonts w:ascii="Times New Roman" w:cs="Times New Roman" w:eastAsia="Times New Roman" w:hAnsi="Times New Roman"/>
          <w:sz w:val="19"/>
          <w:szCs w:val="19"/>
          <w:color w:val="3F3F3F"/>
        </w:rPr>
        <w:t xml:space="preserve"> being referred to </w:t>
      </w:r>
      <w:r>
        <w:rPr>
          <w:rFonts w:ascii="Times New Roman" w:cs="Times New Roman" w:eastAsia="Times New Roman" w:hAnsi="Times New Roman"/>
          <w:sz w:val="19"/>
          <w:szCs w:val="19"/>
          <w:color w:val="2F2F2F"/>
        </w:rPr>
        <w:t>hereinafter as</w:t>
      </w:r>
      <w:r>
        <w:rPr>
          <w:rFonts w:ascii="Times New Roman" w:cs="Times New Roman" w:eastAsia="Times New Roman" w:hAnsi="Times New Roman"/>
          <w:sz w:val="19"/>
          <w:szCs w:val="19"/>
          <w:color w:val="3F3F3F"/>
        </w:rPr>
        <w:t xml:space="preserve"> the </w:t>
      </w:r>
      <w:r>
        <w:rPr>
          <w:rFonts w:ascii="Times New Roman" w:cs="Times New Roman" w:eastAsia="Times New Roman" w:hAnsi="Times New Roman"/>
          <w:sz w:val="19"/>
          <w:szCs w:val="19"/>
          <w:color w:val="2F2F2F"/>
        </w:rPr>
        <w:t>"Severance</w:t>
      </w:r>
      <w:r>
        <w:rPr>
          <w:rFonts w:ascii="Times New Roman" w:cs="Times New Roman" w:eastAsia="Times New Roman" w:hAnsi="Times New Roman"/>
          <w:sz w:val="19"/>
          <w:szCs w:val="19"/>
          <w:color w:val="3F3F3F"/>
        </w:rPr>
        <w:t xml:space="preserve"> Period") at </w:t>
      </w:r>
      <w:r>
        <w:rPr>
          <w:rFonts w:ascii="Times New Roman" w:cs="Times New Roman" w:eastAsia="Times New Roman" w:hAnsi="Times New Roman"/>
          <w:sz w:val="19"/>
          <w:szCs w:val="19"/>
          <w:color w:val="2F2F2F"/>
        </w:rPr>
        <w:t xml:space="preserve">such </w:t>
      </w:r>
      <w:r>
        <w:rPr>
          <w:rFonts w:ascii="Times New Roman" w:cs="Times New Roman" w:eastAsia="Times New Roman" w:hAnsi="Times New Roman"/>
          <w:sz w:val="19"/>
          <w:szCs w:val="19"/>
          <w:color w:val="3F3F3F"/>
        </w:rPr>
        <w:t>intervals as the</w:t>
      </w:r>
      <w:r>
        <w:rPr>
          <w:rFonts w:ascii="Times New Roman" w:cs="Times New Roman" w:eastAsia="Times New Roman" w:hAnsi="Times New Roman"/>
          <w:sz w:val="19"/>
          <w:szCs w:val="19"/>
          <w:color w:val="2F2F2F"/>
        </w:rPr>
        <w:t xml:space="preserve"> same </w:t>
      </w:r>
      <w:r>
        <w:rPr>
          <w:rFonts w:ascii="Times New Roman" w:cs="Times New Roman" w:eastAsia="Times New Roman" w:hAnsi="Times New Roman"/>
          <w:sz w:val="19"/>
          <w:szCs w:val="19"/>
          <w:color w:val="3F3F3F"/>
        </w:rPr>
        <w:t>would have</w:t>
      </w:r>
      <w:r>
        <w:rPr>
          <w:rFonts w:ascii="Times New Roman" w:cs="Times New Roman" w:eastAsia="Times New Roman" w:hAnsi="Times New Roman"/>
          <w:sz w:val="19"/>
          <w:szCs w:val="19"/>
          <w:color w:val="2F2F2F"/>
        </w:rPr>
        <w:t xml:space="preserve"> been paid </w:t>
      </w:r>
      <w:r>
        <w:rPr>
          <w:rFonts w:ascii="Times New Roman" w:cs="Times New Roman" w:eastAsia="Times New Roman" w:hAnsi="Times New Roman"/>
          <w:sz w:val="19"/>
          <w:szCs w:val="19"/>
          <w:color w:val="3F3F3F"/>
        </w:rPr>
        <w:t>had the</w:t>
      </w:r>
      <w:r>
        <w:rPr>
          <w:rFonts w:ascii="Times New Roman" w:cs="Times New Roman" w:eastAsia="Times New Roman" w:hAnsi="Times New Roman"/>
          <w:sz w:val="19"/>
          <w:szCs w:val="19"/>
          <w:color w:val="2F2F2F"/>
        </w:rPr>
        <w:t xml:space="preserve"> Executive </w:t>
      </w:r>
      <w:r>
        <w:rPr>
          <w:rFonts w:ascii="Times New Roman" w:cs="Times New Roman" w:eastAsia="Times New Roman" w:hAnsi="Times New Roman"/>
          <w:sz w:val="19"/>
          <w:szCs w:val="19"/>
          <w:color w:val="3F3F3F"/>
        </w:rPr>
        <w:t>remained</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1D1D1D"/>
        </w:rPr>
        <w:t>in</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3F3F3F"/>
        </w:rPr>
        <w:t>the</w:t>
      </w:r>
      <w:r>
        <w:rPr>
          <w:rFonts w:ascii="Times New Roman" w:cs="Times New Roman" w:eastAsia="Times New Roman" w:hAnsi="Times New Roman"/>
          <w:sz w:val="19"/>
          <w:szCs w:val="19"/>
          <w:color w:val="2F2F2F"/>
        </w:rPr>
        <w:t xml:space="preserve"> active service </w:t>
      </w:r>
      <w:r>
        <w:rPr>
          <w:rFonts w:ascii="Times New Roman" w:cs="Times New Roman" w:eastAsia="Times New Roman" w:hAnsi="Times New Roman"/>
          <w:sz w:val="19"/>
          <w:szCs w:val="19"/>
          <w:color w:val="3F3F3F"/>
        </w:rPr>
        <w:t>of</w:t>
      </w:r>
      <w:r>
        <w:rPr>
          <w:rFonts w:ascii="Times New Roman" w:cs="Times New Roman" w:eastAsia="Times New Roman" w:hAnsi="Times New Roman"/>
          <w:sz w:val="19"/>
          <w:szCs w:val="19"/>
          <w:color w:val="2F2F2F"/>
        </w:rPr>
        <w:t xml:space="preserve"> the Company, </w:t>
      </w:r>
      <w:r>
        <w:rPr>
          <w:rFonts w:ascii="Times New Roman" w:cs="Times New Roman" w:eastAsia="Times New Roman" w:hAnsi="Times New Roman"/>
          <w:sz w:val="19"/>
          <w:szCs w:val="19"/>
          <w:color w:val="3F3F3F"/>
        </w:rPr>
        <w:t>and</w:t>
      </w:r>
      <w:r>
        <w:rPr>
          <w:rFonts w:ascii="Times New Roman" w:cs="Times New Roman" w:eastAsia="Times New Roman" w:hAnsi="Times New Roman"/>
          <w:sz w:val="19"/>
          <w:szCs w:val="19"/>
          <w:color w:val="2F2F2F"/>
        </w:rPr>
        <w:t xml:space="preserve"> (y) pay </w:t>
      </w:r>
      <w:r>
        <w:rPr>
          <w:rFonts w:ascii="Times New Roman" w:cs="Times New Roman" w:eastAsia="Times New Roman" w:hAnsi="Times New Roman"/>
          <w:sz w:val="19"/>
          <w:szCs w:val="19"/>
          <w:color w:val="3F3F3F"/>
        </w:rPr>
        <w:t>the Executive</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3F3F3F"/>
        </w:rPr>
        <w:t xml:space="preserve">a </w:t>
      </w:r>
      <w:r>
        <w:rPr>
          <w:rFonts w:ascii="Times New Roman" w:cs="Times New Roman" w:eastAsia="Times New Roman" w:hAnsi="Times New Roman"/>
          <w:sz w:val="19"/>
          <w:szCs w:val="19"/>
          <w:color w:val="2F2F2F"/>
        </w:rPr>
        <w:t>pro rata</w:t>
      </w:r>
      <w:r>
        <w:rPr>
          <w:rFonts w:ascii="Times New Roman" w:cs="Times New Roman" w:eastAsia="Times New Roman" w:hAnsi="Times New Roman"/>
          <w:sz w:val="19"/>
          <w:szCs w:val="19"/>
          <w:color w:val="3F3F3F"/>
        </w:rPr>
        <w:t xml:space="preserve"> portion of the bonus or </w:t>
      </w:r>
      <w:r>
        <w:rPr>
          <w:rFonts w:ascii="Times New Roman" w:cs="Times New Roman" w:eastAsia="Times New Roman" w:hAnsi="Times New Roman"/>
          <w:sz w:val="19"/>
          <w:szCs w:val="19"/>
          <w:color w:val="2F2F2F"/>
        </w:rPr>
        <w:t>other</w:t>
      </w:r>
      <w:r>
        <w:rPr>
          <w:rFonts w:ascii="Times New Roman" w:cs="Times New Roman" w:eastAsia="Times New Roman" w:hAnsi="Times New Roman"/>
          <w:sz w:val="19"/>
          <w:szCs w:val="19"/>
          <w:color w:val="3F3F3F"/>
        </w:rPr>
        <w:t xml:space="preserve"> incentive </w:t>
      </w:r>
      <w:r>
        <w:rPr>
          <w:rFonts w:ascii="Times New Roman" w:cs="Times New Roman" w:eastAsia="Times New Roman" w:hAnsi="Times New Roman"/>
          <w:sz w:val="19"/>
          <w:szCs w:val="19"/>
          <w:color w:val="2F2F2F"/>
        </w:rPr>
        <w:t>benefits</w:t>
      </w:r>
      <w:r>
        <w:rPr>
          <w:rFonts w:ascii="Times New Roman" w:cs="Times New Roman" w:eastAsia="Times New Roman" w:hAnsi="Times New Roman"/>
          <w:sz w:val="19"/>
          <w:szCs w:val="19"/>
          <w:color w:val="3F3F3F"/>
        </w:rPr>
        <w:t xml:space="preserve"> to which </w:t>
      </w:r>
      <w:r>
        <w:rPr>
          <w:rFonts w:ascii="Times New Roman" w:cs="Times New Roman" w:eastAsia="Times New Roman" w:hAnsi="Times New Roman"/>
          <w:sz w:val="19"/>
          <w:szCs w:val="19"/>
          <w:color w:val="2F2F2F"/>
        </w:rPr>
        <w:t>the</w:t>
      </w:r>
      <w:r>
        <w:rPr>
          <w:rFonts w:ascii="Times New Roman" w:cs="Times New Roman" w:eastAsia="Times New Roman" w:hAnsi="Times New Roman"/>
          <w:sz w:val="19"/>
          <w:szCs w:val="19"/>
          <w:color w:val="3F3F3F"/>
        </w:rPr>
        <w:t xml:space="preserve"> Executive would have been entitled </w:t>
      </w:r>
      <w:r>
        <w:rPr>
          <w:rFonts w:ascii="Times New Roman" w:cs="Times New Roman" w:eastAsia="Times New Roman" w:hAnsi="Times New Roman"/>
          <w:sz w:val="19"/>
          <w:szCs w:val="19"/>
          <w:color w:val="2F2F2F"/>
        </w:rPr>
        <w:t>fo</w:t>
      </w:r>
      <w:r>
        <w:rPr>
          <w:rFonts w:ascii="Times New Roman" w:cs="Times New Roman" w:eastAsia="Times New Roman" w:hAnsi="Times New Roman"/>
          <w:sz w:val="19"/>
          <w:szCs w:val="19"/>
          <w:color w:val="545454"/>
        </w:rPr>
        <w:t>r</w:t>
      </w:r>
      <w:r>
        <w:rPr>
          <w:rFonts w:ascii="Times New Roman" w:cs="Times New Roman" w:eastAsia="Times New Roman" w:hAnsi="Times New Roman"/>
          <w:sz w:val="19"/>
          <w:szCs w:val="19"/>
          <w:color w:val="3F3F3F"/>
        </w:rPr>
        <w:t xml:space="preserve"> the year of </w:t>
      </w:r>
      <w:r>
        <w:rPr>
          <w:rFonts w:ascii="Times New Roman" w:cs="Times New Roman" w:eastAsia="Times New Roman" w:hAnsi="Times New Roman"/>
          <w:sz w:val="19"/>
          <w:szCs w:val="19"/>
          <w:color w:val="2F2F2F"/>
        </w:rPr>
        <w:t>termination</w:t>
      </w:r>
      <w:r>
        <w:rPr>
          <w:rFonts w:ascii="Times New Roman" w:cs="Times New Roman" w:eastAsia="Times New Roman" w:hAnsi="Times New Roman"/>
          <w:sz w:val="19"/>
          <w:szCs w:val="19"/>
          <w:color w:val="3F3F3F"/>
        </w:rPr>
        <w:t xml:space="preserve"> had </w:t>
      </w:r>
      <w:r>
        <w:rPr>
          <w:rFonts w:ascii="Times New Roman" w:cs="Times New Roman" w:eastAsia="Times New Roman" w:hAnsi="Times New Roman"/>
          <w:sz w:val="19"/>
          <w:szCs w:val="19"/>
          <w:color w:val="2F2F2F"/>
        </w:rPr>
        <w:t>the</w:t>
      </w:r>
      <w:r>
        <w:rPr>
          <w:rFonts w:ascii="Times New Roman" w:cs="Times New Roman" w:eastAsia="Times New Roman" w:hAnsi="Times New Roman"/>
          <w:sz w:val="19"/>
          <w:szCs w:val="19"/>
          <w:color w:val="3F3F3F"/>
        </w:rPr>
        <w:t xml:space="preserve"> </w:t>
      </w:r>
      <w:r>
        <w:rPr>
          <w:rFonts w:ascii="Times New Roman" w:cs="Times New Roman" w:eastAsia="Times New Roman" w:hAnsi="Times New Roman"/>
          <w:sz w:val="19"/>
          <w:szCs w:val="19"/>
          <w:color w:val="2F2F2F"/>
        </w:rPr>
        <w:t xml:space="preserve">Executive </w:t>
      </w:r>
      <w:r>
        <w:rPr>
          <w:rFonts w:ascii="Times New Roman" w:cs="Times New Roman" w:eastAsia="Times New Roman" w:hAnsi="Times New Roman"/>
          <w:sz w:val="19"/>
          <w:szCs w:val="19"/>
          <w:color w:val="3F3F3F"/>
        </w:rPr>
        <w:t>remained emp</w:t>
      </w:r>
      <w:r>
        <w:rPr>
          <w:rFonts w:ascii="Times New Roman" w:cs="Times New Roman" w:eastAsia="Times New Roman" w:hAnsi="Times New Roman"/>
          <w:sz w:val="19"/>
          <w:szCs w:val="19"/>
          <w:color w:val="1D1D1D"/>
        </w:rPr>
        <w:t>loy</w:t>
      </w:r>
      <w:r>
        <w:rPr>
          <w:rFonts w:ascii="Times New Roman" w:cs="Times New Roman" w:eastAsia="Times New Roman" w:hAnsi="Times New Roman"/>
          <w:sz w:val="19"/>
          <w:szCs w:val="19"/>
          <w:color w:val="3F3F3F"/>
        </w:rPr>
        <w:t>ed</w:t>
      </w:r>
      <w:r>
        <w:rPr>
          <w:rFonts w:ascii="Times New Roman" w:cs="Times New Roman" w:eastAsia="Times New Roman" w:hAnsi="Times New Roman"/>
          <w:sz w:val="19"/>
          <w:szCs w:val="19"/>
          <w:color w:val="2F2F2F"/>
        </w:rPr>
        <w:t xml:space="preserve"> for </w:t>
      </w:r>
      <w:r>
        <w:rPr>
          <w:rFonts w:ascii="Times New Roman" w:cs="Times New Roman" w:eastAsia="Times New Roman" w:hAnsi="Times New Roman"/>
          <w:sz w:val="19"/>
          <w:szCs w:val="19"/>
          <w:color w:val="3F3F3F"/>
        </w:rPr>
        <w:t>the</w:t>
      </w:r>
      <w:r>
        <w:rPr>
          <w:rFonts w:ascii="Times New Roman" w:cs="Times New Roman" w:eastAsia="Times New Roman" w:hAnsi="Times New Roman"/>
          <w:sz w:val="19"/>
          <w:szCs w:val="19"/>
          <w:color w:val="2F2F2F"/>
        </w:rPr>
        <w:t xml:space="preserve"> entire </w:t>
      </w:r>
      <w:r>
        <w:rPr>
          <w:rFonts w:ascii="Times New Roman" w:cs="Times New Roman" w:eastAsia="Times New Roman" w:hAnsi="Times New Roman"/>
          <w:sz w:val="19"/>
          <w:szCs w:val="19"/>
          <w:color w:val="3F3F3F"/>
        </w:rPr>
        <w:t>year, which ince</w:t>
      </w:r>
      <w:r>
        <w:rPr>
          <w:rFonts w:ascii="Times New Roman" w:cs="Times New Roman" w:eastAsia="Times New Roman" w:hAnsi="Times New Roman"/>
          <w:sz w:val="19"/>
          <w:szCs w:val="19"/>
          <w:color w:val="1D1D1D"/>
        </w:rPr>
        <w:t>n</w:t>
      </w:r>
      <w:r>
        <w:rPr>
          <w:rFonts w:ascii="Times New Roman" w:cs="Times New Roman" w:eastAsia="Times New Roman" w:hAnsi="Times New Roman"/>
          <w:sz w:val="19"/>
          <w:szCs w:val="19"/>
          <w:color w:val="3F3F3F"/>
        </w:rPr>
        <w:t>tive compensation</w:t>
      </w:r>
      <w:r>
        <w:rPr>
          <w:rFonts w:ascii="Times New Roman" w:cs="Times New Roman" w:eastAsia="Times New Roman" w:hAnsi="Times New Roman"/>
          <w:sz w:val="19"/>
          <w:szCs w:val="19"/>
          <w:color w:val="2F2F2F"/>
        </w:rPr>
        <w:t xml:space="preserve"> shall be </w:t>
      </w:r>
      <w:r>
        <w:rPr>
          <w:rFonts w:ascii="Times New Roman" w:cs="Times New Roman" w:eastAsia="Times New Roman" w:hAnsi="Times New Roman"/>
          <w:sz w:val="19"/>
          <w:szCs w:val="19"/>
          <w:color w:val="3F3F3F"/>
        </w:rPr>
        <w:t>payable at</w:t>
      </w:r>
      <w:r>
        <w:rPr>
          <w:rFonts w:ascii="Times New Roman" w:cs="Times New Roman" w:eastAsia="Times New Roman" w:hAnsi="Times New Roman"/>
          <w:sz w:val="19"/>
          <w:szCs w:val="19"/>
          <w:color w:val="2F2F2F"/>
        </w:rPr>
        <w:t xml:space="preserve"> the time incentive compensation </w:t>
      </w:r>
      <w:r>
        <w:rPr>
          <w:rFonts w:ascii="Times New Roman" w:cs="Times New Roman" w:eastAsia="Times New Roman" w:hAnsi="Times New Roman"/>
          <w:sz w:val="19"/>
          <w:szCs w:val="19"/>
          <w:color w:val="3F3F3F"/>
        </w:rPr>
        <w:t>is</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3F3F3F"/>
        </w:rPr>
        <w:t xml:space="preserve">payable generally under </w:t>
      </w:r>
      <w:r>
        <w:rPr>
          <w:rFonts w:ascii="Times New Roman" w:cs="Times New Roman" w:eastAsia="Times New Roman" w:hAnsi="Times New Roman"/>
          <w:sz w:val="19"/>
          <w:szCs w:val="19"/>
          <w:color w:val="2F2F2F"/>
        </w:rPr>
        <w:t>the</w:t>
      </w:r>
      <w:r>
        <w:rPr>
          <w:rFonts w:ascii="Times New Roman" w:cs="Times New Roman" w:eastAsia="Times New Roman" w:hAnsi="Times New Roman"/>
          <w:sz w:val="19"/>
          <w:szCs w:val="19"/>
          <w:color w:val="3F3F3F"/>
        </w:rPr>
        <w:t xml:space="preserve"> applicable incentive plans; provided, however, </w:t>
      </w:r>
      <w:r>
        <w:rPr>
          <w:rFonts w:ascii="Times New Roman" w:cs="Times New Roman" w:eastAsia="Times New Roman" w:hAnsi="Times New Roman"/>
          <w:sz w:val="19"/>
          <w:szCs w:val="19"/>
          <w:color w:val="2F2F2F"/>
        </w:rPr>
        <w:t>that notwithstanding</w:t>
      </w:r>
      <w:r>
        <w:rPr>
          <w:rFonts w:ascii="Times New Roman" w:cs="Times New Roman" w:eastAsia="Times New Roman" w:hAnsi="Times New Roman"/>
          <w:sz w:val="19"/>
          <w:szCs w:val="19"/>
          <w:color w:val="3F3F3F"/>
        </w:rPr>
        <w:t xml:space="preserve"> the </w:t>
      </w:r>
      <w:r>
        <w:rPr>
          <w:rFonts w:ascii="Times New Roman" w:cs="Times New Roman" w:eastAsia="Times New Roman" w:hAnsi="Times New Roman"/>
          <w:sz w:val="19"/>
          <w:szCs w:val="19"/>
          <w:color w:val="2F2F2F"/>
        </w:rPr>
        <w:t>foregoing,</w:t>
      </w:r>
      <w:r>
        <w:rPr>
          <w:rFonts w:ascii="Times New Roman" w:cs="Times New Roman" w:eastAsia="Times New Roman" w:hAnsi="Times New Roman"/>
          <w:sz w:val="19"/>
          <w:szCs w:val="19"/>
          <w:color w:val="3F3F3F"/>
        </w:rPr>
        <w:t xml:space="preserve"> the Executive sha</w:t>
      </w:r>
      <w:r>
        <w:rPr>
          <w:rFonts w:ascii="Times New Roman" w:cs="Times New Roman" w:eastAsia="Times New Roman" w:hAnsi="Times New Roman"/>
          <w:sz w:val="19"/>
          <w:szCs w:val="19"/>
          <w:color w:val="1D1D1D"/>
        </w:rPr>
        <w:t>ll</w:t>
      </w:r>
      <w:r>
        <w:rPr>
          <w:rFonts w:ascii="Times New Roman" w:cs="Times New Roman" w:eastAsia="Times New Roman" w:hAnsi="Times New Roman"/>
          <w:sz w:val="19"/>
          <w:szCs w:val="19"/>
          <w:color w:val="3F3F3F"/>
        </w:rPr>
        <w:t xml:space="preserve"> not </w:t>
      </w:r>
      <w:r>
        <w:rPr>
          <w:rFonts w:ascii="Times New Roman" w:cs="Times New Roman" w:eastAsia="Times New Roman" w:hAnsi="Times New Roman"/>
          <w:sz w:val="19"/>
          <w:szCs w:val="19"/>
          <w:color w:val="2F2F2F"/>
        </w:rPr>
        <w:t>be</w:t>
      </w:r>
      <w:r>
        <w:rPr>
          <w:rFonts w:ascii="Times New Roman" w:cs="Times New Roman" w:eastAsia="Times New Roman" w:hAnsi="Times New Roman"/>
          <w:sz w:val="19"/>
          <w:szCs w:val="19"/>
          <w:color w:val="3F3F3F"/>
        </w:rPr>
        <w:t xml:space="preserve"> entitled to any severance payments </w:t>
      </w:r>
      <w:r>
        <w:rPr>
          <w:rFonts w:ascii="Times New Roman" w:cs="Times New Roman" w:eastAsia="Times New Roman" w:hAnsi="Times New Roman"/>
          <w:sz w:val="19"/>
          <w:szCs w:val="19"/>
          <w:color w:val="2F2F2F"/>
        </w:rPr>
        <w:t>under</w:t>
      </w:r>
      <w:r>
        <w:rPr>
          <w:rFonts w:ascii="Times New Roman" w:cs="Times New Roman" w:eastAsia="Times New Roman" w:hAnsi="Times New Roman"/>
          <w:sz w:val="19"/>
          <w:szCs w:val="19"/>
          <w:color w:val="3F3F3F"/>
        </w:rPr>
        <w:t xml:space="preserve"> clauses (x) and (y) of this sentence upon and after reaching </w:t>
      </w:r>
      <w:r>
        <w:rPr>
          <w:rFonts w:ascii="Times New Roman" w:cs="Times New Roman" w:eastAsia="Times New Roman" w:hAnsi="Times New Roman"/>
          <w:sz w:val="19"/>
          <w:szCs w:val="19"/>
          <w:color w:val="2F2F2F"/>
        </w:rPr>
        <w:t>age</w:t>
      </w:r>
      <w:r>
        <w:rPr>
          <w:rFonts w:ascii="Times New Roman" w:cs="Times New Roman" w:eastAsia="Times New Roman" w:hAnsi="Times New Roman"/>
          <w:sz w:val="19"/>
          <w:szCs w:val="19"/>
          <w:color w:val="3F3F3F"/>
        </w:rPr>
        <w:t xml:space="preserve"> 65 . The </w:t>
      </w:r>
      <w:r>
        <w:rPr>
          <w:rFonts w:ascii="Times New Roman" w:cs="Times New Roman" w:eastAsia="Times New Roman" w:hAnsi="Times New Roman"/>
          <w:sz w:val="19"/>
          <w:szCs w:val="19"/>
          <w:color w:val="2F2F2F"/>
        </w:rPr>
        <w:t>Executive shall</w:t>
      </w:r>
      <w:r>
        <w:rPr>
          <w:rFonts w:ascii="Times New Roman" w:cs="Times New Roman" w:eastAsia="Times New Roman" w:hAnsi="Times New Roman"/>
          <w:sz w:val="19"/>
          <w:szCs w:val="19"/>
          <w:color w:val="3F3F3F"/>
        </w:rPr>
        <w:t xml:space="preserve"> have no further right to </w:t>
      </w:r>
      <w:r>
        <w:rPr>
          <w:rFonts w:ascii="Times New Roman" w:cs="Times New Roman" w:eastAsia="Times New Roman" w:hAnsi="Times New Roman"/>
          <w:sz w:val="19"/>
          <w:szCs w:val="19"/>
          <w:color w:val="2F2F2F"/>
        </w:rPr>
        <w:t>receive any</w:t>
      </w:r>
      <w:r>
        <w:rPr>
          <w:rFonts w:ascii="Times New Roman" w:cs="Times New Roman" w:eastAsia="Times New Roman" w:hAnsi="Times New Roman"/>
          <w:sz w:val="19"/>
          <w:szCs w:val="19"/>
          <w:color w:val="3F3F3F"/>
        </w:rPr>
        <w:t xml:space="preserve"> other compensation, benefits or </w:t>
      </w:r>
      <w:r>
        <w:rPr>
          <w:rFonts w:ascii="Times New Roman" w:cs="Times New Roman" w:eastAsia="Times New Roman" w:hAnsi="Times New Roman"/>
          <w:sz w:val="19"/>
          <w:szCs w:val="19"/>
          <w:color w:val="2F2F2F"/>
        </w:rPr>
        <w:t>perquisites</w:t>
      </w:r>
      <w:r>
        <w:rPr>
          <w:rFonts w:ascii="Times New Roman" w:cs="Times New Roman" w:eastAsia="Times New Roman" w:hAnsi="Times New Roman"/>
          <w:sz w:val="19"/>
          <w:szCs w:val="19"/>
          <w:color w:val="3F3F3F"/>
        </w:rPr>
        <w:t xml:space="preserve"> after </w:t>
      </w:r>
      <w:r>
        <w:rPr>
          <w:rFonts w:ascii="Times New Roman" w:cs="Times New Roman" w:eastAsia="Times New Roman" w:hAnsi="Times New Roman"/>
          <w:sz w:val="19"/>
          <w:szCs w:val="19"/>
          <w:color w:val="2F2F2F"/>
        </w:rPr>
        <w:t>the</w:t>
      </w:r>
      <w:r>
        <w:rPr>
          <w:rFonts w:ascii="Times New Roman" w:cs="Times New Roman" w:eastAsia="Times New Roman" w:hAnsi="Times New Roman"/>
          <w:sz w:val="19"/>
          <w:szCs w:val="19"/>
          <w:color w:val="3F3F3F"/>
        </w:rPr>
        <w:t xml:space="preserve"> date </w:t>
      </w:r>
      <w:r>
        <w:rPr>
          <w:rFonts w:ascii="Times New Roman" w:cs="Times New Roman" w:eastAsia="Times New Roman" w:hAnsi="Times New Roman"/>
          <w:sz w:val="19"/>
          <w:szCs w:val="19"/>
          <w:color w:val="2F2F2F"/>
        </w:rPr>
        <w:t>of termination of</w:t>
      </w:r>
      <w:r>
        <w:rPr>
          <w:rFonts w:ascii="Times New Roman" w:cs="Times New Roman" w:eastAsia="Times New Roman" w:hAnsi="Times New Roman"/>
          <w:sz w:val="19"/>
          <w:szCs w:val="19"/>
          <w:color w:val="3F3F3F"/>
        </w:rPr>
        <w:t xml:space="preserve"> employment except as determined </w:t>
      </w:r>
      <w:r>
        <w:rPr>
          <w:rFonts w:ascii="Times New Roman" w:cs="Times New Roman" w:eastAsia="Times New Roman" w:hAnsi="Times New Roman"/>
          <w:sz w:val="19"/>
          <w:szCs w:val="19"/>
          <w:color w:val="2F2F2F"/>
        </w:rPr>
        <w:t xml:space="preserve">under </w:t>
      </w:r>
      <w:r>
        <w:rPr>
          <w:rFonts w:ascii="Times New Roman" w:cs="Times New Roman" w:eastAsia="Times New Roman" w:hAnsi="Times New Roman"/>
          <w:sz w:val="19"/>
          <w:szCs w:val="19"/>
          <w:color w:val="3F3F3F"/>
        </w:rPr>
        <w:t>the</w:t>
      </w:r>
      <w:r>
        <w:rPr>
          <w:rFonts w:ascii="Times New Roman" w:cs="Times New Roman" w:eastAsia="Times New Roman" w:hAnsi="Times New Roman"/>
          <w:sz w:val="19"/>
          <w:szCs w:val="19"/>
          <w:color w:val="2F2F2F"/>
        </w:rPr>
        <w:t xml:space="preserve"> terms </w:t>
      </w:r>
      <w:r>
        <w:rPr>
          <w:rFonts w:ascii="Times New Roman" w:cs="Times New Roman" w:eastAsia="Times New Roman" w:hAnsi="Times New Roman"/>
          <w:sz w:val="19"/>
          <w:szCs w:val="19"/>
          <w:color w:val="3F3F3F"/>
        </w:rPr>
        <w:t>of this Agreement or any applicable employee</w:t>
      </w:r>
      <w:r>
        <w:rPr>
          <w:rFonts w:ascii="Times New Roman" w:cs="Times New Roman" w:eastAsia="Times New Roman" w:hAnsi="Times New Roman"/>
          <w:sz w:val="19"/>
          <w:szCs w:val="19"/>
          <w:color w:val="2F2F2F"/>
        </w:rPr>
        <w:t xml:space="preserve"> benefit </w:t>
      </w:r>
      <w:r>
        <w:rPr>
          <w:rFonts w:ascii="Times New Roman" w:cs="Times New Roman" w:eastAsia="Times New Roman" w:hAnsi="Times New Roman"/>
          <w:sz w:val="19"/>
          <w:szCs w:val="19"/>
          <w:color w:val="3F3F3F"/>
        </w:rPr>
        <w:t>plans or programs of</w:t>
      </w:r>
      <w:r>
        <w:rPr>
          <w:rFonts w:ascii="Times New Roman" w:cs="Times New Roman" w:eastAsia="Times New Roman" w:hAnsi="Times New Roman"/>
          <w:sz w:val="19"/>
          <w:szCs w:val="19"/>
          <w:color w:val="2F2F2F"/>
        </w:rPr>
        <w:t xml:space="preserve"> the </w:t>
      </w:r>
      <w:r>
        <w:rPr>
          <w:rFonts w:ascii="Times New Roman" w:cs="Times New Roman" w:eastAsia="Times New Roman" w:hAnsi="Times New Roman"/>
          <w:sz w:val="19"/>
          <w:szCs w:val="19"/>
          <w:color w:val="3F3F3F"/>
        </w:rPr>
        <w:t>Company or under applicable</w:t>
      </w:r>
      <w:r>
        <w:rPr>
          <w:rFonts w:ascii="Times New Roman" w:cs="Times New Roman" w:eastAsia="Times New Roman" w:hAnsi="Times New Roman"/>
          <w:sz w:val="19"/>
          <w:szCs w:val="19"/>
          <w:color w:val="2F2F2F"/>
        </w:rPr>
        <w:t xml:space="preserve"> la</w:t>
      </w:r>
      <w:r>
        <w:rPr>
          <w:rFonts w:ascii="Times New Roman" w:cs="Times New Roman" w:eastAsia="Times New Roman" w:hAnsi="Times New Roman"/>
          <w:sz w:val="19"/>
          <w:szCs w:val="19"/>
          <w:color w:val="545454"/>
        </w:rPr>
        <w:t>w.</w:t>
      </w:r>
    </w:p>
    <w:p>
      <w:pPr>
        <w:spacing w:after="0" w:line="188"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9"/>
          <w:szCs w:val="19"/>
          <w:color w:val="3F3F3F"/>
        </w:rPr>
        <w:t xml:space="preserve">If within two </w:t>
      </w:r>
      <w:r>
        <w:rPr>
          <w:rFonts w:ascii="Times New Roman" w:cs="Times New Roman" w:eastAsia="Times New Roman" w:hAnsi="Times New Roman"/>
          <w:sz w:val="19"/>
          <w:szCs w:val="19"/>
          <w:color w:val="2F2F2F"/>
        </w:rPr>
        <w:t>(2)</w:t>
      </w:r>
      <w:r>
        <w:rPr>
          <w:rFonts w:ascii="Times New Roman" w:cs="Times New Roman" w:eastAsia="Times New Roman" w:hAnsi="Times New Roman"/>
          <w:sz w:val="19"/>
          <w:szCs w:val="19"/>
          <w:color w:val="3F3F3F"/>
        </w:rPr>
        <w:t xml:space="preserve"> years </w:t>
      </w:r>
      <w:r>
        <w:rPr>
          <w:rFonts w:ascii="Times New Roman" w:cs="Times New Roman" w:eastAsia="Times New Roman" w:hAnsi="Times New Roman"/>
          <w:sz w:val="19"/>
          <w:szCs w:val="19"/>
          <w:color w:val="2F2F2F"/>
        </w:rPr>
        <w:t>following a</w:t>
      </w:r>
      <w:r>
        <w:rPr>
          <w:rFonts w:ascii="Times New Roman" w:cs="Times New Roman" w:eastAsia="Times New Roman" w:hAnsi="Times New Roman"/>
          <w:sz w:val="19"/>
          <w:szCs w:val="19"/>
          <w:color w:val="3F3F3F"/>
        </w:rPr>
        <w:t xml:space="preserve"> Change </w:t>
      </w:r>
      <w:r>
        <w:rPr>
          <w:rFonts w:ascii="Times New Roman" w:cs="Times New Roman" w:eastAsia="Times New Roman" w:hAnsi="Times New Roman"/>
          <w:sz w:val="19"/>
          <w:szCs w:val="19"/>
          <w:color w:val="2F2F2F"/>
        </w:rPr>
        <w:t>in</w:t>
      </w:r>
      <w:r>
        <w:rPr>
          <w:rFonts w:ascii="Times New Roman" w:cs="Times New Roman" w:eastAsia="Times New Roman" w:hAnsi="Times New Roman"/>
          <w:sz w:val="19"/>
          <w:szCs w:val="19"/>
          <w:color w:val="3F3F3F"/>
        </w:rPr>
        <w:t xml:space="preserve"> Control </w:t>
      </w:r>
      <w:r>
        <w:rPr>
          <w:rFonts w:ascii="Times New Roman" w:cs="Times New Roman" w:eastAsia="Times New Roman" w:hAnsi="Times New Roman"/>
          <w:sz w:val="19"/>
          <w:szCs w:val="19"/>
          <w:color w:val="2F2F2F"/>
        </w:rPr>
        <w:t>the</w:t>
      </w:r>
      <w:r>
        <w:rPr>
          <w:rFonts w:ascii="Times New Roman" w:cs="Times New Roman" w:eastAsia="Times New Roman" w:hAnsi="Times New Roman"/>
          <w:sz w:val="19"/>
          <w:szCs w:val="19"/>
          <w:color w:val="3F3F3F"/>
        </w:rPr>
        <w:t xml:space="preserve"> Executive's </w:t>
      </w:r>
      <w:r>
        <w:rPr>
          <w:rFonts w:ascii="Times New Roman" w:cs="Times New Roman" w:eastAsia="Times New Roman" w:hAnsi="Times New Roman"/>
          <w:sz w:val="19"/>
          <w:szCs w:val="19"/>
          <w:color w:val="2F2F2F"/>
        </w:rPr>
        <w:t>employment shall</w:t>
      </w:r>
      <w:r>
        <w:rPr>
          <w:rFonts w:ascii="Times New Roman" w:cs="Times New Roman" w:eastAsia="Times New Roman" w:hAnsi="Times New Roman"/>
          <w:sz w:val="19"/>
          <w:szCs w:val="19"/>
          <w:color w:val="3F3F3F"/>
        </w:rPr>
        <w:t xml:space="preserve"> be terminated by </w:t>
      </w:r>
      <w:r>
        <w:rPr>
          <w:rFonts w:ascii="Times New Roman" w:cs="Times New Roman" w:eastAsia="Times New Roman" w:hAnsi="Times New Roman"/>
          <w:sz w:val="19"/>
          <w:szCs w:val="19"/>
          <w:color w:val="2F2F2F"/>
        </w:rPr>
        <w:t>the</w:t>
      </w:r>
      <w:r>
        <w:rPr>
          <w:rFonts w:ascii="Times New Roman" w:cs="Times New Roman" w:eastAsia="Times New Roman" w:hAnsi="Times New Roman"/>
          <w:sz w:val="19"/>
          <w:szCs w:val="19"/>
          <w:color w:val="3F3F3F"/>
        </w:rPr>
        <w:t xml:space="preserve"> Company without Cause or by </w:t>
      </w:r>
      <w:r>
        <w:rPr>
          <w:rFonts w:ascii="Times New Roman" w:cs="Times New Roman" w:eastAsia="Times New Roman" w:hAnsi="Times New Roman"/>
          <w:sz w:val="19"/>
          <w:szCs w:val="19"/>
          <w:color w:val="2F2F2F"/>
        </w:rPr>
        <w:t>the</w:t>
      </w:r>
      <w:r>
        <w:rPr>
          <w:rFonts w:ascii="Times New Roman" w:cs="Times New Roman" w:eastAsia="Times New Roman" w:hAnsi="Times New Roman"/>
          <w:sz w:val="19"/>
          <w:szCs w:val="19"/>
          <w:color w:val="3F3F3F"/>
        </w:rPr>
        <w:t xml:space="preserve"> Executive </w:t>
      </w:r>
      <w:r>
        <w:rPr>
          <w:rFonts w:ascii="Times New Roman" w:cs="Times New Roman" w:eastAsia="Times New Roman" w:hAnsi="Times New Roman"/>
          <w:sz w:val="19"/>
          <w:szCs w:val="19"/>
          <w:color w:val="2F2F2F"/>
        </w:rPr>
        <w:t>for</w:t>
      </w:r>
      <w:r>
        <w:rPr>
          <w:rFonts w:ascii="Times New Roman" w:cs="Times New Roman" w:eastAsia="Times New Roman" w:hAnsi="Times New Roman"/>
          <w:sz w:val="19"/>
          <w:szCs w:val="19"/>
          <w:color w:val="3F3F3F"/>
        </w:rPr>
        <w:t xml:space="preserve"> Good Reason </w:t>
      </w:r>
      <w:r>
        <w:rPr>
          <w:rFonts w:ascii="Times New Roman" w:cs="Times New Roman" w:eastAsia="Times New Roman" w:hAnsi="Times New Roman"/>
          <w:sz w:val="19"/>
          <w:szCs w:val="19"/>
          <w:color w:val="2F2F2F"/>
        </w:rPr>
        <w:t>(a</w:t>
      </w:r>
      <w:r>
        <w:rPr>
          <w:rFonts w:ascii="Times New Roman" w:cs="Times New Roman" w:eastAsia="Times New Roman" w:hAnsi="Times New Roman"/>
          <w:sz w:val="19"/>
          <w:szCs w:val="19"/>
          <w:color w:val="3F3F3F"/>
        </w:rPr>
        <w:t xml:space="preserve"> </w:t>
      </w:r>
      <w:r>
        <w:rPr>
          <w:rFonts w:ascii="Times New Roman" w:cs="Times New Roman" w:eastAsia="Times New Roman" w:hAnsi="Times New Roman"/>
          <w:sz w:val="19"/>
          <w:szCs w:val="19"/>
          <w:color w:val="545454"/>
        </w:rPr>
        <w:t>"C</w:t>
      </w:r>
      <w:r>
        <w:rPr>
          <w:rFonts w:ascii="Times New Roman" w:cs="Times New Roman" w:eastAsia="Times New Roman" w:hAnsi="Times New Roman"/>
          <w:sz w:val="19"/>
          <w:szCs w:val="19"/>
          <w:color w:val="2F2F2F"/>
        </w:rPr>
        <w:t>hange</w:t>
      </w:r>
      <w:r>
        <w:rPr>
          <w:rFonts w:ascii="Times New Roman" w:cs="Times New Roman" w:eastAsia="Times New Roman" w:hAnsi="Times New Roman"/>
          <w:sz w:val="19"/>
          <w:szCs w:val="19"/>
          <w:color w:val="3F3F3F"/>
        </w:rPr>
        <w:t xml:space="preserve"> in Control Termination"), the Company shall immediately, </w:t>
      </w:r>
      <w:r>
        <w:rPr>
          <w:rFonts w:ascii="Times New Roman" w:cs="Times New Roman" w:eastAsia="Times New Roman" w:hAnsi="Times New Roman"/>
          <w:sz w:val="19"/>
          <w:szCs w:val="19"/>
          <w:color w:val="2F2F2F"/>
        </w:rPr>
        <w:t>and in</w:t>
      </w:r>
      <w:r>
        <w:rPr>
          <w:rFonts w:ascii="Times New Roman" w:cs="Times New Roman" w:eastAsia="Times New Roman" w:hAnsi="Times New Roman"/>
          <w:sz w:val="19"/>
          <w:szCs w:val="19"/>
          <w:color w:val="3F3F3F"/>
        </w:rPr>
        <w:t xml:space="preserve"> all events within thirty</w:t>
      </w:r>
    </w:p>
    <w:p>
      <w:pPr>
        <w:spacing w:after="0" w:line="2" w:lineRule="exact"/>
        <w:rPr>
          <w:sz w:val="20"/>
          <w:szCs w:val="20"/>
          <w:color w:val="auto"/>
        </w:rPr>
      </w:pPr>
    </w:p>
    <w:p>
      <w:pPr>
        <w:ind w:left="4" w:right="20" w:hanging="4"/>
        <w:spacing w:after="0" w:line="270" w:lineRule="auto"/>
        <w:tabs>
          <w:tab w:leader="none" w:pos="383" w:val="left"/>
        </w:tabs>
        <w:numPr>
          <w:ilvl w:val="0"/>
          <w:numId w:val="42"/>
        </w:numPr>
        <w:rPr>
          <w:rFonts w:ascii="Times New Roman" w:cs="Times New Roman" w:eastAsia="Times New Roman" w:hAnsi="Times New Roman"/>
          <w:sz w:val="20"/>
          <w:szCs w:val="20"/>
          <w:color w:val="3F3F3F"/>
        </w:rPr>
      </w:pPr>
      <w:r>
        <w:rPr>
          <w:rFonts w:ascii="Times New Roman" w:cs="Times New Roman" w:eastAsia="Times New Roman" w:hAnsi="Times New Roman"/>
          <w:sz w:val="20"/>
          <w:szCs w:val="20"/>
          <w:color w:val="3F3F3F"/>
        </w:rPr>
        <w:t xml:space="preserve">days after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date of termination, pay the Executive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sum of </w:t>
      </w:r>
      <w:r>
        <w:rPr>
          <w:rFonts w:ascii="Times New Roman" w:cs="Times New Roman" w:eastAsia="Times New Roman" w:hAnsi="Times New Roman"/>
          <w:sz w:val="20"/>
          <w:szCs w:val="20"/>
          <w:color w:val="2F2F2F"/>
        </w:rPr>
        <w:t>(x) two</w:t>
      </w:r>
      <w:r>
        <w:rPr>
          <w:rFonts w:ascii="Times New Roman" w:cs="Times New Roman" w:eastAsia="Times New Roman" w:hAnsi="Times New Roman"/>
          <w:sz w:val="20"/>
          <w:szCs w:val="20"/>
          <w:color w:val="3F3F3F"/>
        </w:rPr>
        <w:t xml:space="preserve"> (2) times the </w:t>
      </w:r>
      <w:r>
        <w:rPr>
          <w:rFonts w:ascii="Times New Roman" w:cs="Times New Roman" w:eastAsia="Times New Roman" w:hAnsi="Times New Roman"/>
          <w:sz w:val="20"/>
          <w:szCs w:val="20"/>
          <w:color w:val="2F2F2F"/>
        </w:rPr>
        <w:t>Base</w:t>
      </w:r>
      <w:r>
        <w:rPr>
          <w:rFonts w:ascii="Times New Roman" w:cs="Times New Roman" w:eastAsia="Times New Roman" w:hAnsi="Times New Roman"/>
          <w:sz w:val="20"/>
          <w:szCs w:val="20"/>
          <w:color w:val="3F3F3F"/>
        </w:rPr>
        <w:t xml:space="preserve"> Salary (at the rate in effect </w:t>
      </w:r>
      <w:r>
        <w:rPr>
          <w:rFonts w:ascii="Times New Roman" w:cs="Times New Roman" w:eastAsia="Times New Roman" w:hAnsi="Times New Roman"/>
          <w:sz w:val="20"/>
          <w:szCs w:val="20"/>
          <w:color w:val="2F2F2F"/>
        </w:rPr>
        <w:t>on</w:t>
      </w:r>
      <w:r>
        <w:rPr>
          <w:rFonts w:ascii="Times New Roman" w:cs="Times New Roman" w:eastAsia="Times New Roman" w:hAnsi="Times New Roman"/>
          <w:sz w:val="20"/>
          <w:szCs w:val="20"/>
          <w:color w:val="3F3F3F"/>
        </w:rPr>
        <w:t xml:space="preserve"> the </w:t>
      </w:r>
      <w:r>
        <w:rPr>
          <w:rFonts w:ascii="Times New Roman" w:cs="Times New Roman" w:eastAsia="Times New Roman" w:hAnsi="Times New Roman"/>
          <w:sz w:val="20"/>
          <w:szCs w:val="20"/>
          <w:color w:val="2F2F2F"/>
        </w:rPr>
        <w:t>date of such</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F2F2F"/>
        </w:rPr>
        <w:t xml:space="preserve">termination), (y) a </w:t>
      </w:r>
      <w:r>
        <w:rPr>
          <w:rFonts w:ascii="Times New Roman" w:cs="Times New Roman" w:eastAsia="Times New Roman" w:hAnsi="Times New Roman"/>
          <w:sz w:val="20"/>
          <w:szCs w:val="20"/>
          <w:color w:val="3F3F3F"/>
        </w:rPr>
        <w:t>pro rata portion of</w:t>
      </w:r>
      <w:r>
        <w:rPr>
          <w:rFonts w:ascii="Times New Roman" w:cs="Times New Roman" w:eastAsia="Times New Roman" w:hAnsi="Times New Roman"/>
          <w:sz w:val="20"/>
          <w:szCs w:val="20"/>
          <w:color w:val="2F2F2F"/>
        </w:rPr>
        <w:t xml:space="preserve"> the </w:t>
      </w:r>
      <w:r>
        <w:rPr>
          <w:rFonts w:ascii="Times New Roman" w:cs="Times New Roman" w:eastAsia="Times New Roman" w:hAnsi="Times New Roman"/>
          <w:sz w:val="20"/>
          <w:szCs w:val="20"/>
          <w:color w:val="3F3F3F"/>
        </w:rPr>
        <w:t>bonus</w:t>
      </w:r>
      <w:r>
        <w:rPr>
          <w:rFonts w:ascii="Times New Roman" w:cs="Times New Roman" w:eastAsia="Times New Roman" w:hAnsi="Times New Roman"/>
          <w:sz w:val="20"/>
          <w:szCs w:val="20"/>
          <w:color w:val="2F2F2F"/>
        </w:rPr>
        <w:t xml:space="preserve"> or other </w:t>
      </w:r>
      <w:r>
        <w:rPr>
          <w:rFonts w:ascii="Times New Roman" w:cs="Times New Roman" w:eastAsia="Times New Roman" w:hAnsi="Times New Roman"/>
          <w:sz w:val="20"/>
          <w:szCs w:val="20"/>
          <w:color w:val="545454"/>
        </w:rPr>
        <w:t>incen</w:t>
      </w:r>
      <w:r>
        <w:rPr>
          <w:rFonts w:ascii="Times New Roman" w:cs="Times New Roman" w:eastAsia="Times New Roman" w:hAnsi="Times New Roman"/>
          <w:sz w:val="20"/>
          <w:szCs w:val="20"/>
          <w:color w:val="2F2F2F"/>
        </w:rPr>
        <w:t xml:space="preserve">tive benefits </w:t>
      </w:r>
      <w:r>
        <w:rPr>
          <w:rFonts w:ascii="Times New Roman" w:cs="Times New Roman" w:eastAsia="Times New Roman" w:hAnsi="Times New Roman"/>
          <w:sz w:val="20"/>
          <w:szCs w:val="20"/>
          <w:color w:val="3F3F3F"/>
        </w:rPr>
        <w:t>to which the Executive would</w:t>
      </w:r>
      <w:r>
        <w:rPr>
          <w:rFonts w:ascii="Times New Roman" w:cs="Times New Roman" w:eastAsia="Times New Roman" w:hAnsi="Times New Roman"/>
          <w:sz w:val="20"/>
          <w:szCs w:val="20"/>
          <w:color w:val="2F2F2F"/>
        </w:rPr>
        <w:t xml:space="preserve"> have </w:t>
      </w:r>
      <w:r>
        <w:rPr>
          <w:rFonts w:ascii="Times New Roman" w:cs="Times New Roman" w:eastAsia="Times New Roman" w:hAnsi="Times New Roman"/>
          <w:sz w:val="20"/>
          <w:szCs w:val="20"/>
          <w:color w:val="3F3F3F"/>
        </w:rPr>
        <w:t>been entitled for</w:t>
      </w:r>
      <w:r>
        <w:rPr>
          <w:rFonts w:ascii="Times New Roman" w:cs="Times New Roman" w:eastAsia="Times New Roman" w:hAnsi="Times New Roman"/>
          <w:sz w:val="20"/>
          <w:szCs w:val="20"/>
          <w:color w:val="2F2F2F"/>
        </w:rPr>
        <w:t xml:space="preserve"> the </w:t>
      </w:r>
      <w:r>
        <w:rPr>
          <w:rFonts w:ascii="Times New Roman" w:cs="Times New Roman" w:eastAsia="Times New Roman" w:hAnsi="Times New Roman"/>
          <w:sz w:val="20"/>
          <w:szCs w:val="20"/>
          <w:color w:val="3F3F3F"/>
        </w:rPr>
        <w:t>year of</w:t>
      </w:r>
      <w:r>
        <w:rPr>
          <w:rFonts w:ascii="Times New Roman" w:cs="Times New Roman" w:eastAsia="Times New Roman" w:hAnsi="Times New Roman"/>
          <w:sz w:val="20"/>
          <w:szCs w:val="20"/>
          <w:color w:val="2F2F2F"/>
        </w:rPr>
        <w:t xml:space="preserve"> </w:t>
      </w:r>
      <w:r>
        <w:rPr>
          <w:rFonts w:ascii="Times New Roman" w:cs="Times New Roman" w:eastAsia="Times New Roman" w:hAnsi="Times New Roman"/>
          <w:sz w:val="20"/>
          <w:szCs w:val="20"/>
          <w:color w:val="3F3F3F"/>
        </w:rPr>
        <w:t xml:space="preserve">termination had the </w:t>
      </w:r>
      <w:r>
        <w:rPr>
          <w:rFonts w:ascii="Times New Roman" w:cs="Times New Roman" w:eastAsia="Times New Roman" w:hAnsi="Times New Roman"/>
          <w:sz w:val="20"/>
          <w:szCs w:val="20"/>
          <w:color w:val="545454"/>
        </w:rPr>
        <w:t>Executiv</w:t>
      </w:r>
      <w:r>
        <w:rPr>
          <w:rFonts w:ascii="Times New Roman" w:cs="Times New Roman" w:eastAsia="Times New Roman" w:hAnsi="Times New Roman"/>
          <w:sz w:val="20"/>
          <w:szCs w:val="20"/>
          <w:color w:val="2F2F2F"/>
        </w:rPr>
        <w:t>e</w:t>
      </w:r>
      <w:r>
        <w:rPr>
          <w:rFonts w:ascii="Times New Roman" w:cs="Times New Roman" w:eastAsia="Times New Roman" w:hAnsi="Times New Roman"/>
          <w:sz w:val="20"/>
          <w:szCs w:val="20"/>
          <w:color w:val="3F3F3F"/>
        </w:rPr>
        <w:t xml:space="preserve"> remained employed for the enti</w:t>
      </w:r>
      <w:r>
        <w:rPr>
          <w:rFonts w:ascii="Times New Roman" w:cs="Times New Roman" w:eastAsia="Times New Roman" w:hAnsi="Times New Roman"/>
          <w:sz w:val="20"/>
          <w:szCs w:val="20"/>
          <w:color w:val="1D1D1D"/>
        </w:rPr>
        <w:t>r</w:t>
      </w:r>
      <w:r>
        <w:rPr>
          <w:rFonts w:ascii="Times New Roman" w:cs="Times New Roman" w:eastAsia="Times New Roman" w:hAnsi="Times New Roman"/>
          <w:sz w:val="20"/>
          <w:szCs w:val="20"/>
          <w:color w:val="3F3F3F"/>
        </w:rPr>
        <w:t xml:space="preserve">e year, </w:t>
      </w:r>
      <w:r>
        <w:rPr>
          <w:rFonts w:ascii="Times New Roman" w:cs="Times New Roman" w:eastAsia="Times New Roman" w:hAnsi="Times New Roman"/>
          <w:sz w:val="20"/>
          <w:szCs w:val="20"/>
          <w:color w:val="2F2F2F"/>
        </w:rPr>
        <w:t>plus</w:t>
      </w:r>
      <w:r>
        <w:rPr>
          <w:rFonts w:ascii="Times New Roman" w:cs="Times New Roman" w:eastAsia="Times New Roman" w:hAnsi="Times New Roman"/>
          <w:sz w:val="20"/>
          <w:szCs w:val="20"/>
          <w:color w:val="3F3F3F"/>
        </w:rPr>
        <w:t xml:space="preserve"> (z) </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3F3F3F"/>
        </w:rPr>
        <w:t xml:space="preserve"> bonus in an amount equal </w:t>
      </w:r>
      <w:r>
        <w:rPr>
          <w:rFonts w:ascii="Times New Roman" w:cs="Times New Roman" w:eastAsia="Times New Roman" w:hAnsi="Times New Roman"/>
          <w:sz w:val="20"/>
          <w:szCs w:val="20"/>
          <w:color w:val="2F2F2F"/>
        </w:rPr>
        <w:t>to</w:t>
      </w:r>
      <w:r>
        <w:rPr>
          <w:rFonts w:ascii="Times New Roman" w:cs="Times New Roman" w:eastAsia="Times New Roman" w:hAnsi="Times New Roman"/>
          <w:sz w:val="20"/>
          <w:szCs w:val="20"/>
          <w:color w:val="3F3F3F"/>
        </w:rPr>
        <w:t xml:space="preserve"> the three (3) year average of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awards received by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participant during </w:t>
      </w:r>
      <w:r>
        <w:rPr>
          <w:rFonts w:ascii="Times New Roman" w:cs="Times New Roman" w:eastAsia="Times New Roman" w:hAnsi="Times New Roman"/>
          <w:sz w:val="20"/>
          <w:szCs w:val="20"/>
          <w:color w:val="2F2F2F"/>
        </w:rPr>
        <w:t>th</w:t>
      </w:r>
      <w:r>
        <w:rPr>
          <w:rFonts w:ascii="Times New Roman" w:cs="Times New Roman" w:eastAsia="Times New Roman" w:hAnsi="Times New Roman"/>
          <w:sz w:val="20"/>
          <w:szCs w:val="20"/>
          <w:color w:val="545454"/>
        </w:rPr>
        <w:t>e</w:t>
      </w:r>
      <w:r>
        <w:rPr>
          <w:rFonts w:ascii="Times New Roman" w:cs="Times New Roman" w:eastAsia="Times New Roman" w:hAnsi="Times New Roman"/>
          <w:sz w:val="20"/>
          <w:szCs w:val="20"/>
          <w:color w:val="3F3F3F"/>
        </w:rPr>
        <w:t xml:space="preserve"> prior two (2) completed years and the current year's trend (based upon results </w:t>
      </w:r>
      <w:r>
        <w:rPr>
          <w:rFonts w:ascii="Times New Roman" w:cs="Times New Roman" w:eastAsia="Times New Roman" w:hAnsi="Times New Roman"/>
          <w:sz w:val="20"/>
          <w:szCs w:val="20"/>
          <w:color w:val="2F2F2F"/>
        </w:rPr>
        <w:t>through</w:t>
      </w:r>
      <w:r>
        <w:rPr>
          <w:rFonts w:ascii="Times New Roman" w:cs="Times New Roman" w:eastAsia="Times New Roman" w:hAnsi="Times New Roman"/>
          <w:sz w:val="20"/>
          <w:szCs w:val="20"/>
          <w:color w:val="3F3F3F"/>
        </w:rPr>
        <w:t xml:space="preserve"> the month most </w:t>
      </w:r>
      <w:r>
        <w:rPr>
          <w:rFonts w:ascii="Times New Roman" w:cs="Times New Roman" w:eastAsia="Times New Roman" w:hAnsi="Times New Roman"/>
          <w:sz w:val="20"/>
          <w:szCs w:val="20"/>
          <w:color w:val="2F2F2F"/>
        </w:rPr>
        <w:t>recently</w:t>
      </w:r>
      <w:r>
        <w:rPr>
          <w:rFonts w:ascii="Times New Roman" w:cs="Times New Roman" w:eastAsia="Times New Roman" w:hAnsi="Times New Roman"/>
          <w:sz w:val="20"/>
          <w:szCs w:val="20"/>
          <w:color w:val="3F3F3F"/>
        </w:rPr>
        <w:t xml:space="preserve"> complete prior </w:t>
      </w:r>
      <w:r>
        <w:rPr>
          <w:rFonts w:ascii="Times New Roman" w:cs="Times New Roman" w:eastAsia="Times New Roman" w:hAnsi="Times New Roman"/>
          <w:sz w:val="20"/>
          <w:szCs w:val="20"/>
          <w:color w:val="2F2F2F"/>
        </w:rPr>
        <w:t>to</w:t>
      </w:r>
      <w:r>
        <w:rPr>
          <w:rFonts w:ascii="Times New Roman" w:cs="Times New Roman" w:eastAsia="Times New Roman" w:hAnsi="Times New Roman"/>
          <w:sz w:val="20"/>
          <w:szCs w:val="20"/>
          <w:color w:val="3F3F3F"/>
        </w:rPr>
        <w:t xml:space="preserve"> the termination, extrapolated for the complete year) </w:t>
      </w:r>
      <w:r>
        <w:rPr>
          <w:rFonts w:ascii="Times New Roman" w:cs="Times New Roman" w:eastAsia="Times New Roman" w:hAnsi="Times New Roman"/>
          <w:sz w:val="20"/>
          <w:szCs w:val="20"/>
          <w:color w:val="2F2F2F"/>
        </w:rPr>
        <w:t>multiplied</w:t>
      </w:r>
      <w:r>
        <w:rPr>
          <w:rFonts w:ascii="Times New Roman" w:cs="Times New Roman" w:eastAsia="Times New Roman" w:hAnsi="Times New Roman"/>
          <w:sz w:val="20"/>
          <w:szCs w:val="20"/>
          <w:color w:val="3F3F3F"/>
        </w:rPr>
        <w:t xml:space="preserve"> by </w:t>
      </w:r>
      <w:r>
        <w:rPr>
          <w:rFonts w:ascii="Times New Roman" w:cs="Times New Roman" w:eastAsia="Times New Roman" w:hAnsi="Times New Roman"/>
          <w:sz w:val="20"/>
          <w:szCs w:val="20"/>
          <w:color w:val="2F2F2F"/>
        </w:rPr>
        <w:t>two</w:t>
      </w:r>
      <w:r>
        <w:rPr>
          <w:rFonts w:ascii="Times New Roman" w:cs="Times New Roman" w:eastAsia="Times New Roman" w:hAnsi="Times New Roman"/>
          <w:sz w:val="20"/>
          <w:szCs w:val="20"/>
          <w:color w:val="3F3F3F"/>
        </w:rPr>
        <w:t xml:space="preserve"> (2) times. Any payment </w:t>
      </w:r>
      <w:r>
        <w:rPr>
          <w:rFonts w:ascii="Times New Roman" w:cs="Times New Roman" w:eastAsia="Times New Roman" w:hAnsi="Times New Roman"/>
          <w:sz w:val="20"/>
          <w:szCs w:val="20"/>
          <w:color w:val="2F2F2F"/>
        </w:rPr>
        <w:t>due</w:t>
      </w:r>
      <w:r>
        <w:rPr>
          <w:rFonts w:ascii="Times New Roman" w:cs="Times New Roman" w:eastAsia="Times New Roman" w:hAnsi="Times New Roman"/>
          <w:sz w:val="20"/>
          <w:szCs w:val="20"/>
          <w:color w:val="3F3F3F"/>
        </w:rPr>
        <w:t xml:space="preserve"> to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Executive with respect to clause (y) </w:t>
      </w:r>
      <w:r>
        <w:rPr>
          <w:rFonts w:ascii="Times New Roman" w:cs="Times New Roman" w:eastAsia="Times New Roman" w:hAnsi="Times New Roman"/>
          <w:sz w:val="20"/>
          <w:szCs w:val="20"/>
          <w:color w:val="2F2F2F"/>
        </w:rPr>
        <w:t>and</w:t>
      </w:r>
      <w:r>
        <w:rPr>
          <w:rFonts w:ascii="Times New Roman" w:cs="Times New Roman" w:eastAsia="Times New Roman" w:hAnsi="Times New Roman"/>
          <w:sz w:val="20"/>
          <w:szCs w:val="20"/>
          <w:color w:val="3F3F3F"/>
        </w:rPr>
        <w:t xml:space="preserve"> (z) that is calculated based upon the Company's Management Incentive Plan shall be reduced </w:t>
      </w:r>
      <w:r>
        <w:rPr>
          <w:rFonts w:ascii="Times New Roman" w:cs="Times New Roman" w:eastAsia="Times New Roman" w:hAnsi="Times New Roman"/>
          <w:sz w:val="20"/>
          <w:szCs w:val="20"/>
          <w:color w:val="2F2F2F"/>
        </w:rPr>
        <w:t>by</w:t>
      </w:r>
      <w:r>
        <w:rPr>
          <w:rFonts w:ascii="Times New Roman" w:cs="Times New Roman" w:eastAsia="Times New Roman" w:hAnsi="Times New Roman"/>
          <w:sz w:val="20"/>
          <w:szCs w:val="20"/>
          <w:color w:val="3F3F3F"/>
        </w:rPr>
        <w:t xml:space="preserve"> any similar amounts received by the Executive under </w:t>
      </w:r>
      <w:r>
        <w:rPr>
          <w:rFonts w:ascii="Times New Roman" w:cs="Times New Roman" w:eastAsia="Times New Roman" w:hAnsi="Times New Roman"/>
          <w:sz w:val="20"/>
          <w:szCs w:val="20"/>
          <w:color w:val="2F2F2F"/>
        </w:rPr>
        <w:t>such</w:t>
      </w:r>
      <w:r>
        <w:rPr>
          <w:rFonts w:ascii="Times New Roman" w:cs="Times New Roman" w:eastAsia="Times New Roman" w:hAnsi="Times New Roman"/>
          <w:sz w:val="20"/>
          <w:szCs w:val="20"/>
          <w:color w:val="3F3F3F"/>
        </w:rPr>
        <w:t xml:space="preserve"> plan. Also, </w:t>
      </w:r>
      <w:r>
        <w:rPr>
          <w:rFonts w:ascii="Times New Roman" w:cs="Times New Roman" w:eastAsia="Times New Roman" w:hAnsi="Times New Roman"/>
          <w:sz w:val="20"/>
          <w:szCs w:val="20"/>
          <w:color w:val="2F2F2F"/>
        </w:rPr>
        <w:t>notwithstanding the forego</w:t>
      </w:r>
      <w:r>
        <w:rPr>
          <w:rFonts w:ascii="Times New Roman" w:cs="Times New Roman" w:eastAsia="Times New Roman" w:hAnsi="Times New Roman"/>
          <w:sz w:val="20"/>
          <w:szCs w:val="20"/>
          <w:color w:val="545454"/>
        </w:rPr>
        <w:t>i</w:t>
      </w:r>
      <w:r>
        <w:rPr>
          <w:rFonts w:ascii="Times New Roman" w:cs="Times New Roman" w:eastAsia="Times New Roman" w:hAnsi="Times New Roman"/>
          <w:sz w:val="20"/>
          <w:szCs w:val="20"/>
          <w:color w:val="2F2F2F"/>
        </w:rPr>
        <w:t>ng</w:t>
      </w:r>
      <w:r>
        <w:rPr>
          <w:rFonts w:ascii="Times New Roman" w:cs="Times New Roman" w:eastAsia="Times New Roman" w:hAnsi="Times New Roman"/>
          <w:sz w:val="20"/>
          <w:szCs w:val="20"/>
          <w:color w:val="545454"/>
        </w:rPr>
        <w:t>, i</w:t>
      </w:r>
      <w:r>
        <w:rPr>
          <w:rFonts w:ascii="Times New Roman" w:cs="Times New Roman" w:eastAsia="Times New Roman" w:hAnsi="Times New Roman"/>
          <w:sz w:val="20"/>
          <w:szCs w:val="20"/>
          <w:color w:val="2F2F2F"/>
        </w:rPr>
        <w:t>n the</w:t>
      </w:r>
      <w:r>
        <w:rPr>
          <w:rFonts w:ascii="Times New Roman" w:cs="Times New Roman" w:eastAsia="Times New Roman" w:hAnsi="Times New Roman"/>
          <w:sz w:val="20"/>
          <w:szCs w:val="20"/>
          <w:color w:val="3F3F3F"/>
        </w:rPr>
        <w:t xml:space="preserve"> event </w:t>
      </w:r>
      <w:r>
        <w:rPr>
          <w:rFonts w:ascii="Times New Roman" w:cs="Times New Roman" w:eastAsia="Times New Roman" w:hAnsi="Times New Roman"/>
          <w:sz w:val="20"/>
          <w:szCs w:val="20"/>
          <w:color w:val="2F2F2F"/>
        </w:rPr>
        <w:t>of</w:t>
      </w:r>
      <w:r>
        <w:rPr>
          <w:rFonts w:ascii="Times New Roman" w:cs="Times New Roman" w:eastAsia="Times New Roman" w:hAnsi="Times New Roman"/>
          <w:sz w:val="20"/>
          <w:szCs w:val="20"/>
          <w:color w:val="3F3F3F"/>
        </w:rPr>
        <w:t xml:space="preserve"> a Change in Control Termination, </w:t>
      </w:r>
      <w:r>
        <w:rPr>
          <w:rFonts w:ascii="Times New Roman" w:cs="Times New Roman" w:eastAsia="Times New Roman" w:hAnsi="Times New Roman"/>
          <w:sz w:val="20"/>
          <w:szCs w:val="20"/>
          <w:color w:val="545454"/>
        </w:rPr>
        <w:t>the</w:t>
      </w:r>
      <w:r>
        <w:rPr>
          <w:rFonts w:ascii="Times New Roman" w:cs="Times New Roman" w:eastAsia="Times New Roman" w:hAnsi="Times New Roman"/>
          <w:sz w:val="20"/>
          <w:szCs w:val="20"/>
          <w:color w:val="3F3F3F"/>
        </w:rPr>
        <w:t xml:space="preserve"> Company shall continue the Executive's life and </w:t>
      </w:r>
      <w:r>
        <w:rPr>
          <w:rFonts w:ascii="Times New Roman" w:cs="Times New Roman" w:eastAsia="Times New Roman" w:hAnsi="Times New Roman"/>
          <w:sz w:val="20"/>
          <w:szCs w:val="20"/>
          <w:color w:val="2F2F2F"/>
        </w:rPr>
        <w:t>gro</w:t>
      </w:r>
      <w:r>
        <w:rPr>
          <w:rFonts w:ascii="Times New Roman" w:cs="Times New Roman" w:eastAsia="Times New Roman" w:hAnsi="Times New Roman"/>
          <w:sz w:val="20"/>
          <w:szCs w:val="20"/>
          <w:color w:val="545454"/>
        </w:rPr>
        <w:t>up</w:t>
      </w:r>
      <w:r>
        <w:rPr>
          <w:rFonts w:ascii="Times New Roman" w:cs="Times New Roman" w:eastAsia="Times New Roman" w:hAnsi="Times New Roman"/>
          <w:sz w:val="20"/>
          <w:szCs w:val="20"/>
          <w:color w:val="3F3F3F"/>
        </w:rPr>
        <w:t xml:space="preserve"> health coverage </w:t>
      </w:r>
      <w:r>
        <w:rPr>
          <w:rFonts w:ascii="Times New Roman" w:cs="Times New Roman" w:eastAsia="Times New Roman" w:hAnsi="Times New Roman"/>
          <w:sz w:val="20"/>
          <w:szCs w:val="20"/>
          <w:color w:val="2F2F2F"/>
        </w:rPr>
        <w:t>for</w:t>
      </w:r>
      <w:r>
        <w:rPr>
          <w:rFonts w:ascii="Times New Roman" w:cs="Times New Roman" w:eastAsia="Times New Roman" w:hAnsi="Times New Roman"/>
          <w:sz w:val="20"/>
          <w:szCs w:val="20"/>
          <w:color w:val="3F3F3F"/>
        </w:rPr>
        <w:t xml:space="preserve"> a period of two (2) years, </w:t>
      </w:r>
      <w:r>
        <w:rPr>
          <w:rFonts w:ascii="Times New Roman" w:cs="Times New Roman" w:eastAsia="Times New Roman" w:hAnsi="Times New Roman"/>
          <w:sz w:val="20"/>
          <w:szCs w:val="20"/>
          <w:color w:val="2F2F2F"/>
        </w:rPr>
        <w:t>subject</w:t>
      </w:r>
      <w:r>
        <w:rPr>
          <w:rFonts w:ascii="Times New Roman" w:cs="Times New Roman" w:eastAsia="Times New Roman" w:hAnsi="Times New Roman"/>
          <w:sz w:val="20"/>
          <w:szCs w:val="20"/>
          <w:color w:val="3F3F3F"/>
        </w:rPr>
        <w:t xml:space="preserve"> to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same payments by the Executive </w:t>
      </w:r>
      <w:r>
        <w:rPr>
          <w:rFonts w:ascii="Times New Roman" w:cs="Times New Roman" w:eastAsia="Times New Roman" w:hAnsi="Times New Roman"/>
          <w:sz w:val="20"/>
          <w:szCs w:val="20"/>
          <w:color w:val="2F2F2F"/>
        </w:rPr>
        <w:t>that</w:t>
      </w:r>
      <w:r>
        <w:rPr>
          <w:rFonts w:ascii="Times New Roman" w:cs="Times New Roman" w:eastAsia="Times New Roman" w:hAnsi="Times New Roman"/>
          <w:sz w:val="20"/>
          <w:szCs w:val="20"/>
          <w:color w:val="3F3F3F"/>
        </w:rPr>
        <w:t xml:space="preserve"> the Executive was required to make </w:t>
      </w:r>
      <w:r>
        <w:rPr>
          <w:rFonts w:ascii="Times New Roman" w:cs="Times New Roman" w:eastAsia="Times New Roman" w:hAnsi="Times New Roman"/>
          <w:sz w:val="20"/>
          <w:szCs w:val="20"/>
          <w:color w:val="2F2F2F"/>
        </w:rPr>
        <w:t>prior</w:t>
      </w:r>
      <w:r>
        <w:rPr>
          <w:rFonts w:ascii="Times New Roman" w:cs="Times New Roman" w:eastAsia="Times New Roman" w:hAnsi="Times New Roman"/>
          <w:sz w:val="20"/>
          <w:szCs w:val="20"/>
          <w:color w:val="3F3F3F"/>
        </w:rPr>
        <w:t xml:space="preserve"> to </w:t>
      </w:r>
      <w:r>
        <w:rPr>
          <w:rFonts w:ascii="Times New Roman" w:cs="Times New Roman" w:eastAsia="Times New Roman" w:hAnsi="Times New Roman"/>
          <w:sz w:val="20"/>
          <w:szCs w:val="20"/>
          <w:color w:val="2F2F2F"/>
        </w:rPr>
        <w:t>termination.</w:t>
      </w:r>
      <w:r>
        <w:rPr>
          <w:rFonts w:ascii="Times New Roman" w:cs="Times New Roman" w:eastAsia="Times New Roman" w:hAnsi="Times New Roman"/>
          <w:sz w:val="20"/>
          <w:szCs w:val="20"/>
          <w:color w:val="3F3F3F"/>
        </w:rPr>
        <w:t xml:space="preserve"> Notwithstanding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foregoing, </w:t>
      </w:r>
      <w:r>
        <w:rPr>
          <w:rFonts w:ascii="Times New Roman" w:cs="Times New Roman" w:eastAsia="Times New Roman" w:hAnsi="Times New Roman"/>
          <w:sz w:val="20"/>
          <w:szCs w:val="20"/>
          <w:color w:val="545454"/>
        </w:rPr>
        <w:t>t</w:t>
      </w:r>
      <w:r>
        <w:rPr>
          <w:rFonts w:ascii="Times New Roman" w:cs="Times New Roman" w:eastAsia="Times New Roman" w:hAnsi="Times New Roman"/>
          <w:sz w:val="20"/>
          <w:szCs w:val="20"/>
          <w:color w:val="2F2F2F"/>
        </w:rPr>
        <w:t>he</w:t>
      </w:r>
      <w:r>
        <w:rPr>
          <w:rFonts w:ascii="Times New Roman" w:cs="Times New Roman" w:eastAsia="Times New Roman" w:hAnsi="Times New Roman"/>
          <w:sz w:val="20"/>
          <w:szCs w:val="20"/>
          <w:color w:val="3F3F3F"/>
        </w:rPr>
        <w:t xml:space="preserve"> Company </w:t>
      </w:r>
      <w:r>
        <w:rPr>
          <w:rFonts w:ascii="Times New Roman" w:cs="Times New Roman" w:eastAsia="Times New Roman" w:hAnsi="Times New Roman"/>
          <w:sz w:val="20"/>
          <w:szCs w:val="20"/>
          <w:color w:val="2F2F2F"/>
        </w:rPr>
        <w:t>shall</w:t>
      </w:r>
      <w:r>
        <w:rPr>
          <w:rFonts w:ascii="Times New Roman" w:cs="Times New Roman" w:eastAsia="Times New Roman" w:hAnsi="Times New Roman"/>
          <w:sz w:val="20"/>
          <w:szCs w:val="20"/>
          <w:color w:val="3F3F3F"/>
        </w:rPr>
        <w:t xml:space="preserve"> be entitled to modify the group </w:t>
      </w:r>
      <w:r>
        <w:rPr>
          <w:rFonts w:ascii="Times New Roman" w:cs="Times New Roman" w:eastAsia="Times New Roman" w:hAnsi="Times New Roman"/>
          <w:sz w:val="20"/>
          <w:szCs w:val="20"/>
          <w:color w:val="2F2F2F"/>
        </w:rPr>
        <w:t>health</w:t>
      </w:r>
      <w:r>
        <w:rPr>
          <w:rFonts w:ascii="Times New Roman" w:cs="Times New Roman" w:eastAsia="Times New Roman" w:hAnsi="Times New Roman"/>
          <w:sz w:val="20"/>
          <w:szCs w:val="20"/>
          <w:color w:val="3F3F3F"/>
        </w:rPr>
        <w:t xml:space="preserve"> benefits </w:t>
      </w:r>
      <w:r>
        <w:rPr>
          <w:rFonts w:ascii="Times New Roman" w:cs="Times New Roman" w:eastAsia="Times New Roman" w:hAnsi="Times New Roman"/>
          <w:sz w:val="20"/>
          <w:szCs w:val="20"/>
          <w:color w:val="545454"/>
        </w:rPr>
        <w:t>prov</w:t>
      </w:r>
      <w:r>
        <w:rPr>
          <w:rFonts w:ascii="Times New Roman" w:cs="Times New Roman" w:eastAsia="Times New Roman" w:hAnsi="Times New Roman"/>
          <w:sz w:val="20"/>
          <w:szCs w:val="20"/>
          <w:color w:val="2F2F2F"/>
        </w:rPr>
        <w:t>ided</w:t>
      </w:r>
      <w:r>
        <w:rPr>
          <w:rFonts w:ascii="Times New Roman" w:cs="Times New Roman" w:eastAsia="Times New Roman" w:hAnsi="Times New Roman"/>
          <w:sz w:val="20"/>
          <w:szCs w:val="20"/>
          <w:color w:val="3F3F3F"/>
        </w:rPr>
        <w:t xml:space="preserve"> such </w:t>
      </w:r>
      <w:r>
        <w:rPr>
          <w:rFonts w:ascii="Times New Roman" w:cs="Times New Roman" w:eastAsia="Times New Roman" w:hAnsi="Times New Roman"/>
          <w:sz w:val="20"/>
          <w:szCs w:val="20"/>
          <w:color w:val="2F2F2F"/>
        </w:rPr>
        <w:t>modifications</w:t>
      </w:r>
      <w:r>
        <w:rPr>
          <w:rFonts w:ascii="Times New Roman" w:cs="Times New Roman" w:eastAsia="Times New Roman" w:hAnsi="Times New Roman"/>
          <w:sz w:val="20"/>
          <w:szCs w:val="20"/>
          <w:color w:val="3F3F3F"/>
        </w:rPr>
        <w:t xml:space="preserve"> are applicable </w:t>
      </w:r>
      <w:r>
        <w:rPr>
          <w:rFonts w:ascii="Times New Roman" w:cs="Times New Roman" w:eastAsia="Times New Roman" w:hAnsi="Times New Roman"/>
          <w:sz w:val="20"/>
          <w:szCs w:val="20"/>
          <w:color w:val="2F2F2F"/>
        </w:rPr>
        <w:t>to</w:t>
      </w:r>
      <w:r>
        <w:rPr>
          <w:rFonts w:ascii="Times New Roman" w:cs="Times New Roman" w:eastAsia="Times New Roman" w:hAnsi="Times New Roman"/>
          <w:sz w:val="20"/>
          <w:szCs w:val="20"/>
          <w:color w:val="3F3F3F"/>
        </w:rPr>
        <w:t xml:space="preserve"> all similarly situated management employees. </w:t>
      </w:r>
      <w:r>
        <w:rPr>
          <w:rFonts w:ascii="Times New Roman" w:cs="Times New Roman" w:eastAsia="Times New Roman" w:hAnsi="Times New Roman"/>
          <w:sz w:val="20"/>
          <w:szCs w:val="20"/>
          <w:color w:val="545454"/>
        </w:rPr>
        <w:t>T</w:t>
      </w:r>
      <w:r>
        <w:rPr>
          <w:rFonts w:ascii="Times New Roman" w:cs="Times New Roman" w:eastAsia="Times New Roman" w:hAnsi="Times New Roman"/>
          <w:sz w:val="20"/>
          <w:szCs w:val="20"/>
          <w:color w:val="2F2F2F"/>
        </w:rPr>
        <w:t>o</w:t>
      </w:r>
      <w:r>
        <w:rPr>
          <w:rFonts w:ascii="Times New Roman" w:cs="Times New Roman" w:eastAsia="Times New Roman" w:hAnsi="Times New Roman"/>
          <w:sz w:val="20"/>
          <w:szCs w:val="20"/>
          <w:color w:val="3F3F3F"/>
        </w:rPr>
        <w:t xml:space="preserve"> the extent that the Company is not </w:t>
      </w:r>
      <w:r>
        <w:rPr>
          <w:rFonts w:ascii="Times New Roman" w:cs="Times New Roman" w:eastAsia="Times New Roman" w:hAnsi="Times New Roman"/>
          <w:sz w:val="20"/>
          <w:szCs w:val="20"/>
          <w:color w:val="2F2F2F"/>
        </w:rPr>
        <w:t>able to</w:t>
      </w:r>
      <w:r>
        <w:rPr>
          <w:rFonts w:ascii="Times New Roman" w:cs="Times New Roman" w:eastAsia="Times New Roman" w:hAnsi="Times New Roman"/>
          <w:sz w:val="20"/>
          <w:szCs w:val="20"/>
          <w:color w:val="3F3F3F"/>
        </w:rPr>
        <w:t xml:space="preserve"> continue life or group health </w:t>
      </w:r>
      <w:r>
        <w:rPr>
          <w:rFonts w:ascii="Times New Roman" w:cs="Times New Roman" w:eastAsia="Times New Roman" w:hAnsi="Times New Roman"/>
          <w:sz w:val="20"/>
          <w:szCs w:val="20"/>
          <w:color w:val="2F2F2F"/>
        </w:rPr>
        <w:t>benefits</w:t>
      </w:r>
      <w:r>
        <w:rPr>
          <w:rFonts w:ascii="Times New Roman" w:cs="Times New Roman" w:eastAsia="Times New Roman" w:hAnsi="Times New Roman"/>
          <w:sz w:val="20"/>
          <w:szCs w:val="20"/>
          <w:color w:val="3F3F3F"/>
        </w:rPr>
        <w:t xml:space="preserve"> as </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3F3F3F"/>
        </w:rPr>
        <w:t xml:space="preserve"> result of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terms of </w:t>
      </w:r>
      <w:r>
        <w:rPr>
          <w:rFonts w:ascii="Times New Roman" w:cs="Times New Roman" w:eastAsia="Times New Roman" w:hAnsi="Times New Roman"/>
          <w:sz w:val="20"/>
          <w:szCs w:val="20"/>
          <w:color w:val="2F2F2F"/>
        </w:rPr>
        <w:t>th</w:t>
      </w:r>
      <w:r>
        <w:rPr>
          <w:rFonts w:ascii="Times New Roman" w:cs="Times New Roman" w:eastAsia="Times New Roman" w:hAnsi="Times New Roman"/>
          <w:sz w:val="20"/>
          <w:szCs w:val="20"/>
          <w:color w:val="545454"/>
        </w:rPr>
        <w:t>e</w:t>
      </w:r>
      <w:r>
        <w:rPr>
          <w:rFonts w:ascii="Times New Roman" w:cs="Times New Roman" w:eastAsia="Times New Roman" w:hAnsi="Times New Roman"/>
          <w:sz w:val="20"/>
          <w:szCs w:val="20"/>
          <w:color w:val="3F3F3F"/>
        </w:rPr>
        <w:t xml:space="preserve"> applicable plans or </w:t>
      </w:r>
      <w:r>
        <w:rPr>
          <w:rFonts w:ascii="Times New Roman" w:cs="Times New Roman" w:eastAsia="Times New Roman" w:hAnsi="Times New Roman"/>
          <w:sz w:val="20"/>
          <w:szCs w:val="20"/>
          <w:color w:val="2F2F2F"/>
        </w:rPr>
        <w:t>insurance</w:t>
      </w:r>
      <w:r>
        <w:rPr>
          <w:rFonts w:ascii="Times New Roman" w:cs="Times New Roman" w:eastAsia="Times New Roman" w:hAnsi="Times New Roman"/>
          <w:sz w:val="20"/>
          <w:szCs w:val="20"/>
          <w:color w:val="3F3F3F"/>
        </w:rPr>
        <w:t xml:space="preserve"> policies,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Company shall </w:t>
      </w:r>
      <w:r>
        <w:rPr>
          <w:rFonts w:ascii="Times New Roman" w:cs="Times New Roman" w:eastAsia="Times New Roman" w:hAnsi="Times New Roman"/>
          <w:sz w:val="20"/>
          <w:szCs w:val="20"/>
          <w:color w:val="545454"/>
        </w:rPr>
        <w:t>pay</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3F3F3F"/>
        </w:rPr>
        <w:t xml:space="preserve"> Executive the cost, no </w:t>
      </w:r>
      <w:r>
        <w:rPr>
          <w:rFonts w:ascii="Times New Roman" w:cs="Times New Roman" w:eastAsia="Times New Roman" w:hAnsi="Times New Roman"/>
          <w:sz w:val="20"/>
          <w:szCs w:val="20"/>
          <w:color w:val="2F2F2F"/>
        </w:rPr>
        <w:t>less</w:t>
      </w:r>
      <w:r>
        <w:rPr>
          <w:rFonts w:ascii="Times New Roman" w:cs="Times New Roman" w:eastAsia="Times New Roman" w:hAnsi="Times New Roman"/>
          <w:sz w:val="20"/>
          <w:szCs w:val="20"/>
          <w:color w:val="3F3F3F"/>
        </w:rPr>
        <w:t xml:space="preserve"> frequently than monthly, that the Executive </w:t>
      </w:r>
      <w:r>
        <w:rPr>
          <w:rFonts w:ascii="Times New Roman" w:cs="Times New Roman" w:eastAsia="Times New Roman" w:hAnsi="Times New Roman"/>
          <w:sz w:val="20"/>
          <w:szCs w:val="20"/>
          <w:color w:val="545454"/>
        </w:rPr>
        <w:t>must</w:t>
      </w:r>
      <w:r>
        <w:rPr>
          <w:rFonts w:ascii="Times New Roman" w:cs="Times New Roman" w:eastAsia="Times New Roman" w:hAnsi="Times New Roman"/>
          <w:sz w:val="20"/>
          <w:szCs w:val="20"/>
          <w:color w:val="3F3F3F"/>
        </w:rPr>
        <w:t xml:space="preserve"> incur </w:t>
      </w:r>
      <w:r>
        <w:rPr>
          <w:rFonts w:ascii="Times New Roman" w:cs="Times New Roman" w:eastAsia="Times New Roman" w:hAnsi="Times New Roman"/>
          <w:sz w:val="20"/>
          <w:szCs w:val="20"/>
          <w:color w:val="2F2F2F"/>
        </w:rPr>
        <w:t>to</w:t>
      </w:r>
      <w:r>
        <w:rPr>
          <w:rFonts w:ascii="Times New Roman" w:cs="Times New Roman" w:eastAsia="Times New Roman" w:hAnsi="Times New Roman"/>
          <w:sz w:val="20"/>
          <w:szCs w:val="20"/>
          <w:color w:val="3F3F3F"/>
        </w:rPr>
        <w:t xml:space="preserve"> obtain </w:t>
      </w:r>
      <w:r>
        <w:rPr>
          <w:rFonts w:ascii="Times New Roman" w:cs="Times New Roman" w:eastAsia="Times New Roman" w:hAnsi="Times New Roman"/>
          <w:sz w:val="20"/>
          <w:szCs w:val="20"/>
          <w:color w:val="2F2F2F"/>
        </w:rPr>
        <w:t>s</w:t>
      </w:r>
      <w:r>
        <w:rPr>
          <w:rFonts w:ascii="Times New Roman" w:cs="Times New Roman" w:eastAsia="Times New Roman" w:hAnsi="Times New Roman"/>
          <w:sz w:val="20"/>
          <w:szCs w:val="20"/>
          <w:color w:val="545454"/>
        </w:rPr>
        <w:t>uch</w:t>
      </w:r>
      <w:r>
        <w:rPr>
          <w:rFonts w:ascii="Times New Roman" w:cs="Times New Roman" w:eastAsia="Times New Roman" w:hAnsi="Times New Roman"/>
          <w:sz w:val="20"/>
          <w:szCs w:val="20"/>
          <w:color w:val="3F3F3F"/>
        </w:rPr>
        <w:t xml:space="preserve"> benefits privately.</w:t>
      </w:r>
    </w:p>
    <w:p>
      <w:pPr>
        <w:sectPr>
          <w:pgSz w:w="11900" w:h="16838" w:orient="portrait"/>
          <w:cols w:equalWidth="0" w:num="1">
            <w:col w:w="11284"/>
          </w:cols>
          <w:pgMar w:left="356" w:top="427" w:right="259" w:bottom="1440" w:gutter="0" w:footer="0" w:header="0"/>
        </w:sectPr>
      </w:pPr>
    </w:p>
    <w:bookmarkStart w:id="124" w:name="page125"/>
    <w:bookmarkEnd w:id="124"/>
    <w:p>
      <w:pPr>
        <w:ind w:left="10" w:right="20" w:firstLine="648"/>
        <w:spacing w:after="0" w:line="268" w:lineRule="auto"/>
        <w:rPr>
          <w:sz w:val="20"/>
          <w:szCs w:val="20"/>
          <w:color w:val="auto"/>
        </w:rPr>
      </w:pPr>
      <w:r>
        <w:rPr>
          <w:rFonts w:ascii="Times New Roman" w:cs="Times New Roman" w:eastAsia="Times New Roman" w:hAnsi="Times New Roman"/>
          <w:sz w:val="20"/>
          <w:szCs w:val="20"/>
          <w:color w:val="3F3F3F"/>
        </w:rPr>
        <w:t xml:space="preserve">For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purposes of </w:t>
      </w:r>
      <w:r>
        <w:rPr>
          <w:rFonts w:ascii="Times New Roman" w:cs="Times New Roman" w:eastAsia="Times New Roman" w:hAnsi="Times New Roman"/>
          <w:sz w:val="20"/>
          <w:szCs w:val="20"/>
          <w:color w:val="2B2B2B"/>
        </w:rPr>
        <w:t>this</w:t>
      </w:r>
      <w:r>
        <w:rPr>
          <w:rFonts w:ascii="Times New Roman" w:cs="Times New Roman" w:eastAsia="Times New Roman" w:hAnsi="Times New Roman"/>
          <w:sz w:val="20"/>
          <w:szCs w:val="20"/>
          <w:color w:val="3F3F3F"/>
        </w:rPr>
        <w:t xml:space="preserve"> Agreement, the term </w:t>
      </w:r>
      <w:r>
        <w:rPr>
          <w:rFonts w:ascii="Times New Roman" w:cs="Times New Roman" w:eastAsia="Times New Roman" w:hAnsi="Times New Roman"/>
          <w:sz w:val="20"/>
          <w:szCs w:val="20"/>
          <w:color w:val="5D5D5D"/>
        </w:rPr>
        <w:t>"</w:t>
      </w:r>
      <w:r>
        <w:rPr>
          <w:rFonts w:ascii="Times New Roman" w:cs="Times New Roman" w:eastAsia="Times New Roman" w:hAnsi="Times New Roman"/>
          <w:sz w:val="20"/>
          <w:szCs w:val="20"/>
          <w:color w:val="3F3F3F"/>
        </w:rPr>
        <w:t xml:space="preserve">Change </w:t>
      </w:r>
      <w:r>
        <w:rPr>
          <w:rFonts w:ascii="Times New Roman" w:cs="Times New Roman" w:eastAsia="Times New Roman" w:hAnsi="Times New Roman"/>
          <w:sz w:val="20"/>
          <w:szCs w:val="20"/>
          <w:color w:val="2B2B2B"/>
        </w:rPr>
        <w:t>in</w:t>
      </w:r>
      <w:r>
        <w:rPr>
          <w:rFonts w:ascii="Times New Roman" w:cs="Times New Roman" w:eastAsia="Times New Roman" w:hAnsi="Times New Roman"/>
          <w:sz w:val="20"/>
          <w:szCs w:val="20"/>
          <w:color w:val="3F3F3F"/>
        </w:rPr>
        <w:t xml:space="preserve"> Control" shall mean change </w:t>
      </w:r>
      <w:r>
        <w:rPr>
          <w:rFonts w:ascii="Times New Roman" w:cs="Times New Roman" w:eastAsia="Times New Roman" w:hAnsi="Times New Roman"/>
          <w:sz w:val="20"/>
          <w:szCs w:val="20"/>
          <w:color w:val="2B2B2B"/>
        </w:rPr>
        <w:t>in</w:t>
      </w:r>
      <w:r>
        <w:rPr>
          <w:rFonts w:ascii="Times New Roman" w:cs="Times New Roman" w:eastAsia="Times New Roman" w:hAnsi="Times New Roman"/>
          <w:sz w:val="20"/>
          <w:szCs w:val="20"/>
          <w:color w:val="3F3F3F"/>
        </w:rPr>
        <w:t xml:space="preserve"> t</w:t>
      </w:r>
      <w:r>
        <w:rPr>
          <w:rFonts w:ascii="Times New Roman" w:cs="Times New Roman" w:eastAsia="Times New Roman" w:hAnsi="Times New Roman"/>
          <w:sz w:val="20"/>
          <w:szCs w:val="20"/>
          <w:color w:val="1A1A1A"/>
        </w:rPr>
        <w:t>he</w:t>
      </w:r>
      <w:r>
        <w:rPr>
          <w:rFonts w:ascii="Times New Roman" w:cs="Times New Roman" w:eastAsia="Times New Roman" w:hAnsi="Times New Roman"/>
          <w:sz w:val="20"/>
          <w:szCs w:val="20"/>
          <w:color w:val="3F3F3F"/>
        </w:rPr>
        <w:t xml:space="preserve"> ownership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Company, change in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effective control of the Company or change in ownership of </w:t>
      </w:r>
      <w:r>
        <w:rPr>
          <w:rFonts w:ascii="Times New Roman" w:cs="Times New Roman" w:eastAsia="Times New Roman" w:hAnsi="Times New Roman"/>
          <w:sz w:val="20"/>
          <w:szCs w:val="20"/>
          <w:color w:val="2B2B2B"/>
        </w:rPr>
        <w:t>a substantial</w:t>
      </w:r>
      <w:r>
        <w:rPr>
          <w:rFonts w:ascii="Times New Roman" w:cs="Times New Roman" w:eastAsia="Times New Roman" w:hAnsi="Times New Roman"/>
          <w:sz w:val="20"/>
          <w:szCs w:val="20"/>
          <w:color w:val="3F3F3F"/>
        </w:rPr>
        <w:t xml:space="preserve"> portion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Company</w:t>
      </w:r>
      <w:r>
        <w:rPr>
          <w:rFonts w:ascii="Times New Roman" w:cs="Times New Roman" w:eastAsia="Times New Roman" w:hAnsi="Times New Roman"/>
          <w:sz w:val="20"/>
          <w:szCs w:val="20"/>
          <w:color w:val="5D5D5D"/>
        </w:rPr>
        <w:t>'</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B2B2B"/>
        </w:rPr>
        <w:t>s assets,</w:t>
      </w:r>
      <w:r>
        <w:rPr>
          <w:rFonts w:ascii="Times New Roman" w:cs="Times New Roman" w:eastAsia="Times New Roman" w:hAnsi="Times New Roman"/>
          <w:sz w:val="20"/>
          <w:szCs w:val="20"/>
          <w:color w:val="3F3F3F"/>
        </w:rPr>
        <w:t xml:space="preserve"> as described in Section 280G of the Code, including each of the following: (i) a </w:t>
      </w:r>
      <w:r>
        <w:rPr>
          <w:rFonts w:ascii="Times New Roman" w:cs="Times New Roman" w:eastAsia="Times New Roman" w:hAnsi="Times New Roman"/>
          <w:sz w:val="20"/>
          <w:szCs w:val="20"/>
          <w:color w:val="2B2B2B"/>
        </w:rPr>
        <w:t>change</w:t>
      </w:r>
      <w:r>
        <w:rPr>
          <w:rFonts w:ascii="Times New Roman" w:cs="Times New Roman" w:eastAsia="Times New Roman" w:hAnsi="Times New Roman"/>
          <w:sz w:val="20"/>
          <w:szCs w:val="20"/>
          <w:color w:val="3F3F3F"/>
        </w:rPr>
        <w:t xml:space="preserve"> in </w:t>
      </w:r>
      <w:r>
        <w:rPr>
          <w:rFonts w:ascii="Times New Roman" w:cs="Times New Roman" w:eastAsia="Times New Roman" w:hAnsi="Times New Roman"/>
          <w:sz w:val="20"/>
          <w:szCs w:val="20"/>
          <w:color w:val="2B2B2B"/>
        </w:rPr>
        <w:t>the ownership</w:t>
      </w:r>
      <w:r>
        <w:rPr>
          <w:rFonts w:ascii="Times New Roman" w:cs="Times New Roman" w:eastAsia="Times New Roman" w:hAnsi="Times New Roman"/>
          <w:sz w:val="20"/>
          <w:szCs w:val="20"/>
          <w:color w:val="3F3F3F"/>
        </w:rPr>
        <w:t xml:space="preserve">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Company occurs on the date that any one person</w:t>
      </w:r>
      <w:r>
        <w:rPr>
          <w:rFonts w:ascii="Times New Roman" w:cs="Times New Roman" w:eastAsia="Times New Roman" w:hAnsi="Times New Roman"/>
          <w:sz w:val="20"/>
          <w:szCs w:val="20"/>
          <w:color w:val="707070"/>
        </w:rPr>
        <w:t>,</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B2B2B"/>
        </w:rPr>
        <w:t>or</w:t>
      </w:r>
      <w:r>
        <w:rPr>
          <w:rFonts w:ascii="Times New Roman" w:cs="Times New Roman" w:eastAsia="Times New Roman" w:hAnsi="Times New Roman"/>
          <w:sz w:val="20"/>
          <w:szCs w:val="20"/>
          <w:color w:val="3F3F3F"/>
        </w:rPr>
        <w:t xml:space="preserve"> more </w:t>
      </w:r>
      <w:r>
        <w:rPr>
          <w:rFonts w:ascii="Times New Roman" w:cs="Times New Roman" w:eastAsia="Times New Roman" w:hAnsi="Times New Roman"/>
          <w:sz w:val="20"/>
          <w:szCs w:val="20"/>
          <w:color w:val="2B2B2B"/>
        </w:rPr>
        <w:t>than</w:t>
      </w:r>
      <w:r>
        <w:rPr>
          <w:rFonts w:ascii="Times New Roman" w:cs="Times New Roman" w:eastAsia="Times New Roman" w:hAnsi="Times New Roman"/>
          <w:sz w:val="20"/>
          <w:szCs w:val="20"/>
          <w:color w:val="3F3F3F"/>
        </w:rPr>
        <w:t xml:space="preserve"> one person acting </w:t>
      </w:r>
      <w:r>
        <w:rPr>
          <w:rFonts w:ascii="Times New Roman" w:cs="Times New Roman" w:eastAsia="Times New Roman" w:hAnsi="Times New Roman"/>
          <w:sz w:val="20"/>
          <w:szCs w:val="20"/>
          <w:color w:val="2B2B2B"/>
        </w:rPr>
        <w:t>as a</w:t>
      </w:r>
      <w:r>
        <w:rPr>
          <w:rFonts w:ascii="Times New Roman" w:cs="Times New Roman" w:eastAsia="Times New Roman" w:hAnsi="Times New Roman"/>
          <w:sz w:val="20"/>
          <w:szCs w:val="20"/>
          <w:color w:val="3F3F3F"/>
        </w:rPr>
        <w:t xml:space="preserve"> group</w:t>
      </w:r>
      <w:r>
        <w:rPr>
          <w:rFonts w:ascii="Times New Roman" w:cs="Times New Roman" w:eastAsia="Times New Roman" w:hAnsi="Times New Roman"/>
          <w:sz w:val="20"/>
          <w:szCs w:val="20"/>
          <w:color w:val="707070"/>
        </w:rPr>
        <w:t>,</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B2B2B"/>
        </w:rPr>
        <w:t>acquires</w:t>
      </w:r>
      <w:r>
        <w:rPr>
          <w:rFonts w:ascii="Times New Roman" w:cs="Times New Roman" w:eastAsia="Times New Roman" w:hAnsi="Times New Roman"/>
          <w:sz w:val="20"/>
          <w:szCs w:val="20"/>
          <w:color w:val="3F3F3F"/>
        </w:rPr>
        <w:t xml:space="preserve"> ownership of </w:t>
      </w:r>
      <w:r>
        <w:rPr>
          <w:rFonts w:ascii="Times New Roman" w:cs="Times New Roman" w:eastAsia="Times New Roman" w:hAnsi="Times New Roman"/>
          <w:sz w:val="20"/>
          <w:szCs w:val="20"/>
          <w:color w:val="2B2B2B"/>
        </w:rPr>
        <w:t>stock</w:t>
      </w:r>
      <w:r>
        <w:rPr>
          <w:rFonts w:ascii="Times New Roman" w:cs="Times New Roman" w:eastAsia="Times New Roman" w:hAnsi="Times New Roman"/>
          <w:sz w:val="20"/>
          <w:szCs w:val="20"/>
          <w:color w:val="3F3F3F"/>
        </w:rPr>
        <w:t xml:space="preserve"> of the Company </w:t>
      </w:r>
      <w:r>
        <w:rPr>
          <w:rFonts w:ascii="Times New Roman" w:cs="Times New Roman" w:eastAsia="Times New Roman" w:hAnsi="Times New Roman"/>
          <w:sz w:val="20"/>
          <w:szCs w:val="20"/>
          <w:color w:val="2B2B2B"/>
        </w:rPr>
        <w:t>that,</w:t>
      </w:r>
      <w:r>
        <w:rPr>
          <w:rFonts w:ascii="Times New Roman" w:cs="Times New Roman" w:eastAsia="Times New Roman" w:hAnsi="Times New Roman"/>
          <w:sz w:val="20"/>
          <w:szCs w:val="20"/>
          <w:color w:val="3F3F3F"/>
        </w:rPr>
        <w:t xml:space="preserve"> together with </w:t>
      </w:r>
      <w:r>
        <w:rPr>
          <w:rFonts w:ascii="Times New Roman" w:cs="Times New Roman" w:eastAsia="Times New Roman" w:hAnsi="Times New Roman"/>
          <w:sz w:val="20"/>
          <w:szCs w:val="20"/>
          <w:color w:val="2B2B2B"/>
        </w:rPr>
        <w:t>stock</w:t>
      </w:r>
      <w:r>
        <w:rPr>
          <w:rFonts w:ascii="Times New Roman" w:cs="Times New Roman" w:eastAsia="Times New Roman" w:hAnsi="Times New Roman"/>
          <w:sz w:val="20"/>
          <w:szCs w:val="20"/>
          <w:color w:val="3F3F3F"/>
        </w:rPr>
        <w:t xml:space="preserve"> held by </w:t>
      </w:r>
      <w:r>
        <w:rPr>
          <w:rFonts w:ascii="Times New Roman" w:cs="Times New Roman" w:eastAsia="Times New Roman" w:hAnsi="Times New Roman"/>
          <w:sz w:val="20"/>
          <w:szCs w:val="20"/>
          <w:color w:val="2B2B2B"/>
        </w:rPr>
        <w:t>such</w:t>
      </w:r>
      <w:r>
        <w:rPr>
          <w:rFonts w:ascii="Times New Roman" w:cs="Times New Roman" w:eastAsia="Times New Roman" w:hAnsi="Times New Roman"/>
          <w:sz w:val="20"/>
          <w:szCs w:val="20"/>
          <w:color w:val="3F3F3F"/>
        </w:rPr>
        <w:t xml:space="preserve"> person or </w:t>
      </w:r>
      <w:r>
        <w:rPr>
          <w:rFonts w:ascii="Times New Roman" w:cs="Times New Roman" w:eastAsia="Times New Roman" w:hAnsi="Times New Roman"/>
          <w:sz w:val="20"/>
          <w:szCs w:val="20"/>
          <w:color w:val="2B2B2B"/>
        </w:rPr>
        <w:t>group,</w:t>
      </w:r>
      <w:r>
        <w:rPr>
          <w:rFonts w:ascii="Times New Roman" w:cs="Times New Roman" w:eastAsia="Times New Roman" w:hAnsi="Times New Roman"/>
          <w:sz w:val="20"/>
          <w:szCs w:val="20"/>
          <w:color w:val="3F3F3F"/>
        </w:rPr>
        <w:t xml:space="preserve"> possess more than fifty percent (50%) of the total fair market value or total voting </w:t>
      </w:r>
      <w:r>
        <w:rPr>
          <w:rFonts w:ascii="Times New Roman" w:cs="Times New Roman" w:eastAsia="Times New Roman" w:hAnsi="Times New Roman"/>
          <w:sz w:val="20"/>
          <w:szCs w:val="20"/>
          <w:color w:val="2B2B2B"/>
        </w:rPr>
        <w:t>power</w:t>
      </w:r>
      <w:r>
        <w:rPr>
          <w:rFonts w:ascii="Times New Roman" w:cs="Times New Roman" w:eastAsia="Times New Roman" w:hAnsi="Times New Roman"/>
          <w:sz w:val="20"/>
          <w:szCs w:val="20"/>
          <w:color w:val="3F3F3F"/>
        </w:rPr>
        <w:t xml:space="preserve"> of </w:t>
      </w:r>
      <w:r>
        <w:rPr>
          <w:rFonts w:ascii="Times New Roman" w:cs="Times New Roman" w:eastAsia="Times New Roman" w:hAnsi="Times New Roman"/>
          <w:sz w:val="20"/>
          <w:szCs w:val="20"/>
          <w:color w:val="2B2B2B"/>
        </w:rPr>
        <w:t>the stock</w:t>
      </w:r>
      <w:r>
        <w:rPr>
          <w:rFonts w:ascii="Times New Roman" w:cs="Times New Roman" w:eastAsia="Times New Roman" w:hAnsi="Times New Roman"/>
          <w:sz w:val="20"/>
          <w:szCs w:val="20"/>
          <w:color w:val="3F3F3F"/>
        </w:rPr>
        <w:t xml:space="preserve"> of the Company (unless any one person, or </w:t>
      </w:r>
      <w:r>
        <w:rPr>
          <w:rFonts w:ascii="Times New Roman" w:cs="Times New Roman" w:eastAsia="Times New Roman" w:hAnsi="Times New Roman"/>
          <w:sz w:val="20"/>
          <w:szCs w:val="20"/>
          <w:color w:val="2B2B2B"/>
        </w:rPr>
        <w:t>more</w:t>
      </w:r>
      <w:r>
        <w:rPr>
          <w:rFonts w:ascii="Times New Roman" w:cs="Times New Roman" w:eastAsia="Times New Roman" w:hAnsi="Times New Roman"/>
          <w:sz w:val="20"/>
          <w:szCs w:val="20"/>
          <w:color w:val="3F3F3F"/>
        </w:rPr>
        <w:t xml:space="preserve"> than one person </w:t>
      </w:r>
      <w:r>
        <w:rPr>
          <w:rFonts w:ascii="Times New Roman" w:cs="Times New Roman" w:eastAsia="Times New Roman" w:hAnsi="Times New Roman"/>
          <w:sz w:val="20"/>
          <w:szCs w:val="20"/>
          <w:color w:val="2B2B2B"/>
        </w:rPr>
        <w:t>acting as</w:t>
      </w:r>
      <w:r>
        <w:rPr>
          <w:rFonts w:ascii="Times New Roman" w:cs="Times New Roman" w:eastAsia="Times New Roman" w:hAnsi="Times New Roman"/>
          <w:sz w:val="20"/>
          <w:szCs w:val="20"/>
          <w:color w:val="3F3F3F"/>
        </w:rPr>
        <w:t xml:space="preserve"> a group, w</w:t>
      </w:r>
      <w:r>
        <w:rPr>
          <w:rFonts w:ascii="Times New Roman" w:cs="Times New Roman" w:eastAsia="Times New Roman" w:hAnsi="Times New Roman"/>
          <w:sz w:val="20"/>
          <w:szCs w:val="20"/>
          <w:color w:val="1A1A1A"/>
        </w:rPr>
        <w:t>h</w:t>
      </w:r>
      <w:r>
        <w:rPr>
          <w:rFonts w:ascii="Times New Roman" w:cs="Times New Roman" w:eastAsia="Times New Roman" w:hAnsi="Times New Roman"/>
          <w:sz w:val="20"/>
          <w:szCs w:val="20"/>
          <w:color w:val="3F3F3F"/>
        </w:rPr>
        <w:t xml:space="preserve">o </w:t>
      </w:r>
      <w:r>
        <w:rPr>
          <w:rFonts w:ascii="Times New Roman" w:cs="Times New Roman" w:eastAsia="Times New Roman" w:hAnsi="Times New Roman"/>
          <w:sz w:val="20"/>
          <w:szCs w:val="20"/>
          <w:color w:val="2B2B2B"/>
        </w:rPr>
        <w:t>is</w:t>
      </w:r>
      <w:r>
        <w:rPr>
          <w:rFonts w:ascii="Times New Roman" w:cs="Times New Roman" w:eastAsia="Times New Roman" w:hAnsi="Times New Roman"/>
          <w:sz w:val="20"/>
          <w:szCs w:val="20"/>
          <w:color w:val="3F3F3F"/>
        </w:rPr>
        <w:t xml:space="preserve"> considered to own more than fifty </w:t>
      </w:r>
      <w:r>
        <w:rPr>
          <w:rFonts w:ascii="Times New Roman" w:cs="Times New Roman" w:eastAsia="Times New Roman" w:hAnsi="Times New Roman"/>
          <w:sz w:val="20"/>
          <w:szCs w:val="20"/>
          <w:color w:val="2B2B2B"/>
        </w:rPr>
        <w:t>percent</w:t>
      </w:r>
      <w:r>
        <w:rPr>
          <w:rFonts w:ascii="Times New Roman" w:cs="Times New Roman" w:eastAsia="Times New Roman" w:hAnsi="Times New Roman"/>
          <w:sz w:val="20"/>
          <w:szCs w:val="20"/>
          <w:color w:val="3F3F3F"/>
        </w:rPr>
        <w:t xml:space="preserve"> (50%) of </w:t>
      </w:r>
      <w:r>
        <w:rPr>
          <w:rFonts w:ascii="Times New Roman" w:cs="Times New Roman" w:eastAsia="Times New Roman" w:hAnsi="Times New Roman"/>
          <w:sz w:val="20"/>
          <w:szCs w:val="20"/>
          <w:color w:val="2B2B2B"/>
        </w:rPr>
        <w:t>the total</w:t>
      </w:r>
      <w:r>
        <w:rPr>
          <w:rFonts w:ascii="Times New Roman" w:cs="Times New Roman" w:eastAsia="Times New Roman" w:hAnsi="Times New Roman"/>
          <w:sz w:val="20"/>
          <w:szCs w:val="20"/>
          <w:color w:val="3F3F3F"/>
        </w:rPr>
        <w:t xml:space="preserve"> fair market value or total </w:t>
      </w:r>
      <w:r>
        <w:rPr>
          <w:rFonts w:ascii="Times New Roman" w:cs="Times New Roman" w:eastAsia="Times New Roman" w:hAnsi="Times New Roman"/>
          <w:sz w:val="20"/>
          <w:szCs w:val="20"/>
          <w:color w:val="2B2B2B"/>
        </w:rPr>
        <w:t>voting</w:t>
      </w:r>
      <w:r>
        <w:rPr>
          <w:rFonts w:ascii="Times New Roman" w:cs="Times New Roman" w:eastAsia="Times New Roman" w:hAnsi="Times New Roman"/>
          <w:sz w:val="20"/>
          <w:szCs w:val="20"/>
          <w:color w:val="3F3F3F"/>
        </w:rPr>
        <w:t xml:space="preserve"> power of </w:t>
      </w:r>
      <w:r>
        <w:rPr>
          <w:rFonts w:ascii="Times New Roman" w:cs="Times New Roman" w:eastAsia="Times New Roman" w:hAnsi="Times New Roman"/>
          <w:sz w:val="20"/>
          <w:szCs w:val="20"/>
          <w:color w:val="2B2B2B"/>
        </w:rPr>
        <w:t>the stock</w:t>
      </w:r>
      <w:r>
        <w:rPr>
          <w:rFonts w:ascii="Times New Roman" w:cs="Times New Roman" w:eastAsia="Times New Roman" w:hAnsi="Times New Roman"/>
          <w:sz w:val="20"/>
          <w:szCs w:val="20"/>
          <w:color w:val="3F3F3F"/>
        </w:rPr>
        <w:t xml:space="preserve"> of the Company, </w:t>
      </w:r>
      <w:r>
        <w:rPr>
          <w:rFonts w:ascii="Times New Roman" w:cs="Times New Roman" w:eastAsia="Times New Roman" w:hAnsi="Times New Roman"/>
          <w:sz w:val="20"/>
          <w:szCs w:val="20"/>
          <w:color w:val="2B2B2B"/>
        </w:rPr>
        <w:t>acquires</w:t>
      </w:r>
      <w:r>
        <w:rPr>
          <w:rFonts w:ascii="Times New Roman" w:cs="Times New Roman" w:eastAsia="Times New Roman" w:hAnsi="Times New Roman"/>
          <w:sz w:val="20"/>
          <w:szCs w:val="20"/>
          <w:color w:val="3F3F3F"/>
        </w:rPr>
        <w:t xml:space="preserve"> additional </w:t>
      </w:r>
      <w:r>
        <w:rPr>
          <w:rFonts w:ascii="Times New Roman" w:cs="Times New Roman" w:eastAsia="Times New Roman" w:hAnsi="Times New Roman"/>
          <w:sz w:val="20"/>
          <w:szCs w:val="20"/>
          <w:color w:val="2B2B2B"/>
        </w:rPr>
        <w:t>stock);</w:t>
      </w:r>
      <w:r>
        <w:rPr>
          <w:rFonts w:ascii="Times New Roman" w:cs="Times New Roman" w:eastAsia="Times New Roman" w:hAnsi="Times New Roman"/>
          <w:sz w:val="20"/>
          <w:szCs w:val="20"/>
          <w:color w:val="3F3F3F"/>
        </w:rPr>
        <w:t xml:space="preserve"> (ii) change </w:t>
      </w:r>
      <w:r>
        <w:rPr>
          <w:rFonts w:ascii="Times New Roman" w:cs="Times New Roman" w:eastAsia="Times New Roman" w:hAnsi="Times New Roman"/>
          <w:sz w:val="20"/>
          <w:szCs w:val="20"/>
          <w:color w:val="2B2B2B"/>
        </w:rPr>
        <w:t>in the effective</w:t>
      </w:r>
      <w:r>
        <w:rPr>
          <w:rFonts w:ascii="Times New Roman" w:cs="Times New Roman" w:eastAsia="Times New Roman" w:hAnsi="Times New Roman"/>
          <w:sz w:val="20"/>
          <w:szCs w:val="20"/>
          <w:color w:val="3F3F3F"/>
        </w:rPr>
        <w:t xml:space="preserve"> control </w:t>
      </w:r>
      <w:r>
        <w:rPr>
          <w:rFonts w:ascii="Times New Roman" w:cs="Times New Roman" w:eastAsia="Times New Roman" w:hAnsi="Times New Roman"/>
          <w:sz w:val="20"/>
          <w:szCs w:val="20"/>
          <w:color w:val="2B2B2B"/>
        </w:rPr>
        <w:t>of</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1A1A1A"/>
        </w:rPr>
        <w:t>t</w:t>
      </w:r>
      <w:r>
        <w:rPr>
          <w:rFonts w:ascii="Times New Roman" w:cs="Times New Roman" w:eastAsia="Times New Roman" w:hAnsi="Times New Roman"/>
          <w:sz w:val="20"/>
          <w:szCs w:val="20"/>
          <w:color w:val="3F3F3F"/>
        </w:rPr>
        <w:t xml:space="preserve">he Company is presumed (which presumption may </w:t>
      </w:r>
      <w:r>
        <w:rPr>
          <w:rFonts w:ascii="Times New Roman" w:cs="Times New Roman" w:eastAsia="Times New Roman" w:hAnsi="Times New Roman"/>
          <w:sz w:val="20"/>
          <w:szCs w:val="20"/>
          <w:color w:val="2B2B2B"/>
        </w:rPr>
        <w:t>be</w:t>
      </w:r>
      <w:r>
        <w:rPr>
          <w:rFonts w:ascii="Times New Roman" w:cs="Times New Roman" w:eastAsia="Times New Roman" w:hAnsi="Times New Roman"/>
          <w:sz w:val="20"/>
          <w:szCs w:val="20"/>
          <w:color w:val="3F3F3F"/>
        </w:rPr>
        <w:t xml:space="preserve"> rebutted by the Compensation Committee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Board) </w:t>
      </w:r>
      <w:r>
        <w:rPr>
          <w:rFonts w:ascii="Times New Roman" w:cs="Times New Roman" w:eastAsia="Times New Roman" w:hAnsi="Times New Roman"/>
          <w:sz w:val="20"/>
          <w:szCs w:val="20"/>
          <w:color w:val="2B2B2B"/>
        </w:rPr>
        <w:t>to occur</w:t>
      </w:r>
      <w:r>
        <w:rPr>
          <w:rFonts w:ascii="Times New Roman" w:cs="Times New Roman" w:eastAsia="Times New Roman" w:hAnsi="Times New Roman"/>
          <w:sz w:val="20"/>
          <w:szCs w:val="20"/>
          <w:color w:val="3F3F3F"/>
        </w:rPr>
        <w:t xml:space="preserve"> on the date that either: any one person, or more </w:t>
      </w:r>
      <w:r>
        <w:rPr>
          <w:rFonts w:ascii="Times New Roman" w:cs="Times New Roman" w:eastAsia="Times New Roman" w:hAnsi="Times New Roman"/>
          <w:sz w:val="20"/>
          <w:szCs w:val="20"/>
          <w:color w:val="2B2B2B"/>
        </w:rPr>
        <w:t>than one</w:t>
      </w:r>
      <w:r>
        <w:rPr>
          <w:rFonts w:ascii="Times New Roman" w:cs="Times New Roman" w:eastAsia="Times New Roman" w:hAnsi="Times New Roman"/>
          <w:sz w:val="20"/>
          <w:szCs w:val="20"/>
          <w:color w:val="3F3F3F"/>
        </w:rPr>
        <w:t xml:space="preserve"> person acting as a group</w:t>
      </w:r>
      <w:r>
        <w:rPr>
          <w:rFonts w:ascii="Times New Roman" w:cs="Times New Roman" w:eastAsia="Times New Roman" w:hAnsi="Times New Roman"/>
          <w:sz w:val="20"/>
          <w:szCs w:val="20"/>
          <w:color w:val="5D5D5D"/>
        </w:rPr>
        <w:t>,</w:t>
      </w:r>
      <w:r>
        <w:rPr>
          <w:rFonts w:ascii="Times New Roman" w:cs="Times New Roman" w:eastAsia="Times New Roman" w:hAnsi="Times New Roman"/>
          <w:sz w:val="20"/>
          <w:szCs w:val="20"/>
          <w:color w:val="3F3F3F"/>
        </w:rPr>
        <w:t xml:space="preserve"> acquires (or </w:t>
      </w:r>
      <w:r>
        <w:rPr>
          <w:rFonts w:ascii="Times New Roman" w:cs="Times New Roman" w:eastAsia="Times New Roman" w:hAnsi="Times New Roman"/>
          <w:sz w:val="20"/>
          <w:szCs w:val="20"/>
          <w:color w:val="2B2B2B"/>
        </w:rPr>
        <w:t>has acquired</w:t>
      </w:r>
      <w:r>
        <w:rPr>
          <w:rFonts w:ascii="Times New Roman" w:cs="Times New Roman" w:eastAsia="Times New Roman" w:hAnsi="Times New Roman"/>
          <w:sz w:val="20"/>
          <w:szCs w:val="20"/>
          <w:color w:val="3F3F3F"/>
        </w:rPr>
        <w:t xml:space="preserve"> during the </w:t>
      </w:r>
      <w:r>
        <w:rPr>
          <w:rFonts w:ascii="Times New Roman" w:cs="Times New Roman" w:eastAsia="Times New Roman" w:hAnsi="Times New Roman"/>
          <w:sz w:val="20"/>
          <w:szCs w:val="20"/>
          <w:color w:val="2B2B2B"/>
        </w:rPr>
        <w:t>twelve</w:t>
      </w:r>
      <w:r>
        <w:rPr>
          <w:rFonts w:ascii="Times New Roman" w:cs="Times New Roman" w:eastAsia="Times New Roman" w:hAnsi="Times New Roman"/>
          <w:sz w:val="20"/>
          <w:szCs w:val="20"/>
          <w:color w:val="3F3F3F"/>
        </w:rPr>
        <w:t xml:space="preserve"> (12)-month </w:t>
      </w:r>
      <w:r>
        <w:rPr>
          <w:rFonts w:ascii="Times New Roman" w:cs="Times New Roman" w:eastAsia="Times New Roman" w:hAnsi="Times New Roman"/>
          <w:sz w:val="20"/>
          <w:szCs w:val="20"/>
          <w:color w:val="2B2B2B"/>
        </w:rPr>
        <w:t>period ending</w:t>
      </w:r>
      <w:r>
        <w:rPr>
          <w:rFonts w:ascii="Times New Roman" w:cs="Times New Roman" w:eastAsia="Times New Roman" w:hAnsi="Times New Roman"/>
          <w:sz w:val="20"/>
          <w:szCs w:val="20"/>
          <w:color w:val="3F3F3F"/>
        </w:rPr>
        <w:t xml:space="preserve"> on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date of the most </w:t>
      </w:r>
      <w:r>
        <w:rPr>
          <w:rFonts w:ascii="Times New Roman" w:cs="Times New Roman" w:eastAsia="Times New Roman" w:hAnsi="Times New Roman"/>
          <w:sz w:val="20"/>
          <w:szCs w:val="20"/>
          <w:color w:val="2B2B2B"/>
        </w:rPr>
        <w:t>recent acquisition by</w:t>
      </w:r>
      <w:r>
        <w:rPr>
          <w:rFonts w:ascii="Times New Roman" w:cs="Times New Roman" w:eastAsia="Times New Roman" w:hAnsi="Times New Roman"/>
          <w:sz w:val="20"/>
          <w:szCs w:val="20"/>
          <w:color w:val="3F3F3F"/>
        </w:rPr>
        <w:t xml:space="preserve"> such person or persons) ownership of stock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Company possessing </w:t>
      </w:r>
      <w:r>
        <w:rPr>
          <w:rFonts w:ascii="Times New Roman" w:cs="Times New Roman" w:eastAsia="Times New Roman" w:hAnsi="Times New Roman"/>
          <w:sz w:val="20"/>
          <w:szCs w:val="20"/>
          <w:color w:val="2B2B2B"/>
        </w:rPr>
        <w:t>thirty</w:t>
      </w:r>
      <w:r>
        <w:rPr>
          <w:rFonts w:ascii="Times New Roman" w:cs="Times New Roman" w:eastAsia="Times New Roman" w:hAnsi="Times New Roman"/>
          <w:sz w:val="20"/>
          <w:szCs w:val="20"/>
          <w:color w:val="3F3F3F"/>
        </w:rPr>
        <w:t xml:space="preserve"> percent (30%) or more of </w:t>
      </w:r>
      <w:r>
        <w:rPr>
          <w:rFonts w:ascii="Times New Roman" w:cs="Times New Roman" w:eastAsia="Times New Roman" w:hAnsi="Times New Roman"/>
          <w:sz w:val="20"/>
          <w:szCs w:val="20"/>
          <w:color w:val="1A1A1A"/>
        </w:rPr>
        <w:t>t</w:t>
      </w:r>
      <w:r>
        <w:rPr>
          <w:rFonts w:ascii="Times New Roman" w:cs="Times New Roman" w:eastAsia="Times New Roman" w:hAnsi="Times New Roman"/>
          <w:sz w:val="20"/>
          <w:szCs w:val="20"/>
          <w:color w:val="3F3F3F"/>
        </w:rPr>
        <w:t>he total voti</w:t>
      </w:r>
      <w:r>
        <w:rPr>
          <w:rFonts w:ascii="Times New Roman" w:cs="Times New Roman" w:eastAsia="Times New Roman" w:hAnsi="Times New Roman"/>
          <w:sz w:val="20"/>
          <w:szCs w:val="20"/>
          <w:color w:val="1A1A1A"/>
        </w:rPr>
        <w:t>ng</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0"/>
          <w:szCs w:val="20"/>
          <w:color w:val="2B2B2B"/>
        </w:rPr>
        <w:t>power of</w:t>
      </w:r>
      <w:r>
        <w:rPr>
          <w:rFonts w:ascii="Times New Roman" w:cs="Times New Roman" w:eastAsia="Times New Roman" w:hAnsi="Times New Roman"/>
          <w:sz w:val="20"/>
          <w:szCs w:val="20"/>
          <w:color w:val="3F3F3F"/>
        </w:rPr>
        <w:t xml:space="preserve"> the stock of such Company;</w:t>
      </w:r>
    </w:p>
    <w:p>
      <w:pPr>
        <w:spacing w:after="0" w:line="11" w:lineRule="exact"/>
        <w:rPr>
          <w:sz w:val="20"/>
          <w:szCs w:val="20"/>
          <w:color w:val="auto"/>
        </w:rPr>
      </w:pPr>
    </w:p>
    <w:p>
      <w:pPr>
        <w:ind w:left="-10" w:right="160" w:firstLine="10"/>
        <w:spacing w:after="0" w:line="273" w:lineRule="auto"/>
        <w:tabs>
          <w:tab w:leader="none" w:pos="679" w:val="left"/>
        </w:tabs>
        <w:numPr>
          <w:ilvl w:val="0"/>
          <w:numId w:val="43"/>
        </w:numPr>
        <w:rPr>
          <w:rFonts w:ascii="Times New Roman" w:cs="Times New Roman" w:eastAsia="Times New Roman" w:hAnsi="Times New Roman"/>
          <w:sz w:val="21"/>
          <w:szCs w:val="21"/>
          <w:color w:val="3F3F3F"/>
        </w:rPr>
      </w:pPr>
      <w:r>
        <w:rPr>
          <w:rFonts w:ascii="Times New Roman" w:cs="Times New Roman" w:eastAsia="Times New Roman" w:hAnsi="Times New Roman"/>
          <w:sz w:val="20"/>
          <w:szCs w:val="20"/>
          <w:color w:val="3F3F3F"/>
        </w:rPr>
        <w:t xml:space="preserve">a majority of members of </w:t>
      </w:r>
      <w:r>
        <w:rPr>
          <w:rFonts w:ascii="Times New Roman" w:cs="Times New Roman" w:eastAsia="Times New Roman" w:hAnsi="Times New Roman"/>
          <w:sz w:val="20"/>
          <w:szCs w:val="20"/>
          <w:color w:val="1A1A1A"/>
        </w:rPr>
        <w:t>t</w:t>
      </w:r>
      <w:r>
        <w:rPr>
          <w:rFonts w:ascii="Times New Roman" w:cs="Times New Roman" w:eastAsia="Times New Roman" w:hAnsi="Times New Roman"/>
          <w:sz w:val="20"/>
          <w:szCs w:val="20"/>
          <w:color w:val="3F3F3F"/>
        </w:rPr>
        <w:t xml:space="preserve">he Company's Board </w:t>
      </w:r>
      <w:r>
        <w:rPr>
          <w:rFonts w:ascii="Times New Roman" w:cs="Times New Roman" w:eastAsia="Times New Roman" w:hAnsi="Times New Roman"/>
          <w:sz w:val="20"/>
          <w:szCs w:val="20"/>
          <w:color w:val="2B2B2B"/>
        </w:rPr>
        <w:t>is</w:t>
      </w:r>
      <w:r>
        <w:rPr>
          <w:rFonts w:ascii="Times New Roman" w:cs="Times New Roman" w:eastAsia="Times New Roman" w:hAnsi="Times New Roman"/>
          <w:sz w:val="20"/>
          <w:szCs w:val="20"/>
          <w:color w:val="3F3F3F"/>
        </w:rPr>
        <w:t xml:space="preserve"> replaced dur</w:t>
      </w:r>
      <w:r>
        <w:rPr>
          <w:rFonts w:ascii="Times New Roman" w:cs="Times New Roman" w:eastAsia="Times New Roman" w:hAnsi="Times New Roman"/>
          <w:sz w:val="20"/>
          <w:szCs w:val="20"/>
          <w:color w:val="1A1A1A"/>
        </w:rPr>
        <w:t>i</w:t>
      </w:r>
      <w:r>
        <w:rPr>
          <w:rFonts w:ascii="Times New Roman" w:cs="Times New Roman" w:eastAsia="Times New Roman" w:hAnsi="Times New Roman"/>
          <w:sz w:val="20"/>
          <w:szCs w:val="20"/>
          <w:color w:val="3F3F3F"/>
        </w:rPr>
        <w:t>ng any twelve (12)-month period by di</w:t>
      </w:r>
      <w:r>
        <w:rPr>
          <w:rFonts w:ascii="Times New Roman" w:cs="Times New Roman" w:eastAsia="Times New Roman" w:hAnsi="Times New Roman"/>
          <w:sz w:val="20"/>
          <w:szCs w:val="20"/>
          <w:color w:val="1A1A1A"/>
        </w:rPr>
        <w:t>re</w:t>
      </w:r>
      <w:r>
        <w:rPr>
          <w:rFonts w:ascii="Times New Roman" w:cs="Times New Roman" w:eastAsia="Times New Roman" w:hAnsi="Times New Roman"/>
          <w:sz w:val="20"/>
          <w:szCs w:val="20"/>
          <w:color w:val="3F3F3F"/>
        </w:rPr>
        <w:t xml:space="preserve">ctors whose appointment </w:t>
      </w:r>
      <w:r>
        <w:rPr>
          <w:rFonts w:ascii="Times New Roman" w:cs="Times New Roman" w:eastAsia="Times New Roman" w:hAnsi="Times New Roman"/>
          <w:sz w:val="20"/>
          <w:szCs w:val="20"/>
          <w:color w:val="2B2B2B"/>
        </w:rPr>
        <w:t>or</w:t>
      </w:r>
      <w:r>
        <w:rPr>
          <w:rFonts w:ascii="Times New Roman" w:cs="Times New Roman" w:eastAsia="Times New Roman" w:hAnsi="Times New Roman"/>
          <w:sz w:val="20"/>
          <w:szCs w:val="20"/>
          <w:color w:val="3F3F3F"/>
        </w:rPr>
        <w:t xml:space="preserve"> election is not endorsed by </w:t>
      </w:r>
      <w:r>
        <w:rPr>
          <w:rFonts w:ascii="Times New Roman" w:cs="Times New Roman" w:eastAsia="Times New Roman" w:hAnsi="Times New Roman"/>
          <w:sz w:val="20"/>
          <w:szCs w:val="20"/>
          <w:color w:val="2B2B2B"/>
        </w:rPr>
        <w:t>a</w:t>
      </w:r>
      <w:r>
        <w:rPr>
          <w:rFonts w:ascii="Times New Roman" w:cs="Times New Roman" w:eastAsia="Times New Roman" w:hAnsi="Times New Roman"/>
          <w:sz w:val="20"/>
          <w:szCs w:val="20"/>
          <w:color w:val="3F3F3F"/>
        </w:rPr>
        <w:t xml:space="preserve"> major</w:t>
      </w:r>
      <w:r>
        <w:rPr>
          <w:rFonts w:ascii="Times New Roman" w:cs="Times New Roman" w:eastAsia="Times New Roman" w:hAnsi="Times New Roman"/>
          <w:sz w:val="20"/>
          <w:szCs w:val="20"/>
          <w:color w:val="1A1A1A"/>
        </w:rPr>
        <w:t>i</w:t>
      </w:r>
      <w:r>
        <w:rPr>
          <w:rFonts w:ascii="Times New Roman" w:cs="Times New Roman" w:eastAsia="Times New Roman" w:hAnsi="Times New Roman"/>
          <w:sz w:val="20"/>
          <w:szCs w:val="20"/>
          <w:color w:val="3F3F3F"/>
        </w:rPr>
        <w:t xml:space="preserve">ty of the </w:t>
      </w:r>
      <w:r>
        <w:rPr>
          <w:rFonts w:ascii="Times New Roman" w:cs="Times New Roman" w:eastAsia="Times New Roman" w:hAnsi="Times New Roman"/>
          <w:sz w:val="20"/>
          <w:szCs w:val="20"/>
          <w:color w:val="2B2B2B"/>
        </w:rPr>
        <w:t>members</w:t>
      </w:r>
      <w:r>
        <w:rPr>
          <w:rFonts w:ascii="Times New Roman" w:cs="Times New Roman" w:eastAsia="Times New Roman" w:hAnsi="Times New Roman"/>
          <w:sz w:val="20"/>
          <w:szCs w:val="20"/>
          <w:color w:val="3F3F3F"/>
        </w:rPr>
        <w:t xml:space="preserve">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Company's Board prior to the date of </w:t>
      </w:r>
      <w:r>
        <w:rPr>
          <w:rFonts w:ascii="Times New Roman" w:cs="Times New Roman" w:eastAsia="Times New Roman" w:hAnsi="Times New Roman"/>
          <w:sz w:val="20"/>
          <w:szCs w:val="20"/>
          <w:color w:val="2B2B2B"/>
        </w:rPr>
        <w:t>the appointment</w:t>
      </w:r>
      <w:r>
        <w:rPr>
          <w:rFonts w:ascii="Times New Roman" w:cs="Times New Roman" w:eastAsia="Times New Roman" w:hAnsi="Times New Roman"/>
          <w:sz w:val="20"/>
          <w:szCs w:val="20"/>
          <w:color w:val="3F3F3F"/>
        </w:rPr>
        <w:t xml:space="preserve"> or elec</w:t>
      </w:r>
      <w:r>
        <w:rPr>
          <w:rFonts w:ascii="Times New Roman" w:cs="Times New Roman" w:eastAsia="Times New Roman" w:hAnsi="Times New Roman"/>
          <w:sz w:val="20"/>
          <w:szCs w:val="20"/>
          <w:color w:val="1A1A1A"/>
        </w:rPr>
        <w:t>t</w:t>
      </w:r>
      <w:r>
        <w:rPr>
          <w:rFonts w:ascii="Times New Roman" w:cs="Times New Roman" w:eastAsia="Times New Roman" w:hAnsi="Times New Roman"/>
          <w:sz w:val="20"/>
          <w:szCs w:val="20"/>
          <w:color w:val="3F3F3F"/>
        </w:rPr>
        <w:t xml:space="preserve">ion of such new </w:t>
      </w:r>
      <w:r>
        <w:rPr>
          <w:rFonts w:ascii="Times New Roman" w:cs="Times New Roman" w:eastAsia="Times New Roman" w:hAnsi="Times New Roman"/>
          <w:sz w:val="20"/>
          <w:szCs w:val="20"/>
          <w:color w:val="2B2B2B"/>
        </w:rPr>
        <w:t>directors; or</w:t>
      </w:r>
    </w:p>
    <w:p>
      <w:pPr>
        <w:spacing w:after="0" w:line="12" w:lineRule="exact"/>
        <w:rPr>
          <w:rFonts w:ascii="Times New Roman" w:cs="Times New Roman" w:eastAsia="Times New Roman" w:hAnsi="Times New Roman"/>
          <w:sz w:val="21"/>
          <w:szCs w:val="21"/>
          <w:color w:val="3F3F3F"/>
        </w:rPr>
      </w:pPr>
    </w:p>
    <w:p>
      <w:pPr>
        <w:ind w:left="-10" w:firstLine="23"/>
        <w:spacing w:after="0" w:line="283" w:lineRule="auto"/>
        <w:tabs>
          <w:tab w:leader="none" w:pos="640" w:val="left"/>
        </w:tabs>
        <w:numPr>
          <w:ilvl w:val="0"/>
          <w:numId w:val="43"/>
        </w:numPr>
        <w:rPr>
          <w:rFonts w:ascii="Times New Roman" w:cs="Times New Roman" w:eastAsia="Times New Roman" w:hAnsi="Times New Roman"/>
          <w:sz w:val="21"/>
          <w:szCs w:val="21"/>
          <w:color w:val="3F3F3F"/>
        </w:rPr>
      </w:pPr>
      <w:r>
        <w:rPr>
          <w:rFonts w:ascii="Times New Roman" w:cs="Times New Roman" w:eastAsia="Times New Roman" w:hAnsi="Times New Roman"/>
          <w:sz w:val="20"/>
          <w:szCs w:val="20"/>
          <w:color w:val="3F3F3F"/>
        </w:rPr>
        <w:t>a change in the ownership of a substantia</w:t>
      </w:r>
      <w:r>
        <w:rPr>
          <w:rFonts w:ascii="Times New Roman" w:cs="Times New Roman" w:eastAsia="Times New Roman" w:hAnsi="Times New Roman"/>
          <w:sz w:val="20"/>
          <w:szCs w:val="20"/>
          <w:color w:val="1A1A1A"/>
        </w:rPr>
        <w:t>l</w:t>
      </w:r>
      <w:r>
        <w:rPr>
          <w:rFonts w:ascii="Times New Roman" w:cs="Times New Roman" w:eastAsia="Times New Roman" w:hAnsi="Times New Roman"/>
          <w:sz w:val="20"/>
          <w:szCs w:val="20"/>
          <w:color w:val="3F3F3F"/>
        </w:rPr>
        <w:t xml:space="preserve"> portion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Company's assets occurs on </w:t>
      </w:r>
      <w:r>
        <w:rPr>
          <w:rFonts w:ascii="Times New Roman" w:cs="Times New Roman" w:eastAsia="Times New Roman" w:hAnsi="Times New Roman"/>
          <w:sz w:val="20"/>
          <w:szCs w:val="20"/>
          <w:color w:val="2B2B2B"/>
        </w:rPr>
        <w:t>the date that any</w:t>
      </w:r>
      <w:r>
        <w:rPr>
          <w:rFonts w:ascii="Times New Roman" w:cs="Times New Roman" w:eastAsia="Times New Roman" w:hAnsi="Times New Roman"/>
          <w:sz w:val="20"/>
          <w:szCs w:val="20"/>
          <w:color w:val="3F3F3F"/>
        </w:rPr>
        <w:t xml:space="preserve"> one person, or more than one person act</w:t>
      </w:r>
      <w:r>
        <w:rPr>
          <w:rFonts w:ascii="Times New Roman" w:cs="Times New Roman" w:eastAsia="Times New Roman" w:hAnsi="Times New Roman"/>
          <w:sz w:val="20"/>
          <w:szCs w:val="20"/>
          <w:color w:val="1A1A1A"/>
        </w:rPr>
        <w:t>in</w:t>
      </w:r>
      <w:r>
        <w:rPr>
          <w:rFonts w:ascii="Times New Roman" w:cs="Times New Roman" w:eastAsia="Times New Roman" w:hAnsi="Times New Roman"/>
          <w:sz w:val="20"/>
          <w:szCs w:val="20"/>
          <w:color w:val="3F3F3F"/>
        </w:rPr>
        <w:t xml:space="preserve">g as a group, acquires </w:t>
      </w:r>
      <w:r>
        <w:rPr>
          <w:rFonts w:ascii="Times New Roman" w:cs="Times New Roman" w:eastAsia="Times New Roman" w:hAnsi="Times New Roman"/>
          <w:sz w:val="20"/>
          <w:szCs w:val="20"/>
          <w:color w:val="2B2B2B"/>
        </w:rPr>
        <w:t>(</w:t>
      </w:r>
      <w:r>
        <w:rPr>
          <w:rFonts w:ascii="Times New Roman" w:cs="Times New Roman" w:eastAsia="Times New Roman" w:hAnsi="Times New Roman"/>
          <w:sz w:val="20"/>
          <w:szCs w:val="20"/>
          <w:color w:val="3F3F3F"/>
        </w:rPr>
        <w:t xml:space="preserve">or </w:t>
      </w:r>
      <w:r>
        <w:rPr>
          <w:rFonts w:ascii="Times New Roman" w:cs="Times New Roman" w:eastAsia="Times New Roman" w:hAnsi="Times New Roman"/>
          <w:sz w:val="20"/>
          <w:szCs w:val="20"/>
          <w:color w:val="2B2B2B"/>
        </w:rPr>
        <w:t>has</w:t>
      </w:r>
      <w:r>
        <w:rPr>
          <w:rFonts w:ascii="Times New Roman" w:cs="Times New Roman" w:eastAsia="Times New Roman" w:hAnsi="Times New Roman"/>
          <w:sz w:val="20"/>
          <w:szCs w:val="20"/>
          <w:color w:val="3F3F3F"/>
        </w:rPr>
        <w:t xml:space="preserve"> acquired during the twelve (12)-month period ending on the </w:t>
      </w:r>
      <w:r>
        <w:rPr>
          <w:rFonts w:ascii="Times New Roman" w:cs="Times New Roman" w:eastAsia="Times New Roman" w:hAnsi="Times New Roman"/>
          <w:sz w:val="20"/>
          <w:szCs w:val="20"/>
          <w:color w:val="2B2B2B"/>
        </w:rPr>
        <w:t>date</w:t>
      </w:r>
      <w:r>
        <w:rPr>
          <w:rFonts w:ascii="Times New Roman" w:cs="Times New Roman" w:eastAsia="Times New Roman" w:hAnsi="Times New Roman"/>
          <w:sz w:val="20"/>
          <w:szCs w:val="20"/>
          <w:color w:val="3F3F3F"/>
        </w:rPr>
        <w:t xml:space="preserve"> of the </w:t>
      </w:r>
      <w:r>
        <w:rPr>
          <w:rFonts w:ascii="Times New Roman" w:cs="Times New Roman" w:eastAsia="Times New Roman" w:hAnsi="Times New Roman"/>
          <w:sz w:val="20"/>
          <w:szCs w:val="20"/>
          <w:color w:val="2B2B2B"/>
        </w:rPr>
        <w:t>most</w:t>
      </w:r>
      <w:r>
        <w:rPr>
          <w:rFonts w:ascii="Times New Roman" w:cs="Times New Roman" w:eastAsia="Times New Roman" w:hAnsi="Times New Roman"/>
          <w:sz w:val="20"/>
          <w:szCs w:val="20"/>
          <w:color w:val="3F3F3F"/>
        </w:rPr>
        <w:t xml:space="preserve"> recen</w:t>
      </w:r>
      <w:r>
        <w:rPr>
          <w:rFonts w:ascii="Times New Roman" w:cs="Times New Roman" w:eastAsia="Times New Roman" w:hAnsi="Times New Roman"/>
          <w:sz w:val="20"/>
          <w:szCs w:val="20"/>
          <w:color w:val="1A1A1A"/>
        </w:rPr>
        <w:t>t</w:t>
      </w:r>
      <w:r>
        <w:rPr>
          <w:rFonts w:ascii="Times New Roman" w:cs="Times New Roman" w:eastAsia="Times New Roman" w:hAnsi="Times New Roman"/>
          <w:sz w:val="20"/>
          <w:szCs w:val="20"/>
          <w:color w:val="3F3F3F"/>
        </w:rPr>
        <w:t xml:space="preserve"> acquisition by such </w:t>
      </w:r>
      <w:r>
        <w:rPr>
          <w:rFonts w:ascii="Times New Roman" w:cs="Times New Roman" w:eastAsia="Times New Roman" w:hAnsi="Times New Roman"/>
          <w:sz w:val="20"/>
          <w:szCs w:val="20"/>
          <w:color w:val="2B2B2B"/>
        </w:rPr>
        <w:t>person</w:t>
      </w:r>
      <w:r>
        <w:rPr>
          <w:rFonts w:ascii="Times New Roman" w:cs="Times New Roman" w:eastAsia="Times New Roman" w:hAnsi="Times New Roman"/>
          <w:sz w:val="20"/>
          <w:szCs w:val="20"/>
          <w:color w:val="3F3F3F"/>
        </w:rPr>
        <w:t xml:space="preserve"> or </w:t>
      </w:r>
      <w:r>
        <w:rPr>
          <w:rFonts w:ascii="Times New Roman" w:cs="Times New Roman" w:eastAsia="Times New Roman" w:hAnsi="Times New Roman"/>
          <w:sz w:val="20"/>
          <w:szCs w:val="20"/>
          <w:color w:val="2B2B2B"/>
        </w:rPr>
        <w:t>persons)</w:t>
      </w:r>
      <w:r>
        <w:rPr>
          <w:rFonts w:ascii="Times New Roman" w:cs="Times New Roman" w:eastAsia="Times New Roman" w:hAnsi="Times New Roman"/>
          <w:sz w:val="20"/>
          <w:szCs w:val="20"/>
          <w:color w:val="3F3F3F"/>
        </w:rPr>
        <w:t xml:space="preserve"> assets from the Company that </w:t>
      </w:r>
      <w:r>
        <w:rPr>
          <w:rFonts w:ascii="Times New Roman" w:cs="Times New Roman" w:eastAsia="Times New Roman" w:hAnsi="Times New Roman"/>
          <w:sz w:val="20"/>
          <w:szCs w:val="20"/>
          <w:color w:val="2B2B2B"/>
        </w:rPr>
        <w:t>have</w:t>
      </w:r>
      <w:r>
        <w:rPr>
          <w:rFonts w:ascii="Times New Roman" w:cs="Times New Roman" w:eastAsia="Times New Roman" w:hAnsi="Times New Roman"/>
          <w:sz w:val="20"/>
          <w:szCs w:val="20"/>
          <w:color w:val="3F3F3F"/>
        </w:rPr>
        <w:t xml:space="preserve"> a tota</w:t>
      </w:r>
      <w:r>
        <w:rPr>
          <w:rFonts w:ascii="Times New Roman" w:cs="Times New Roman" w:eastAsia="Times New Roman" w:hAnsi="Times New Roman"/>
          <w:sz w:val="20"/>
          <w:szCs w:val="20"/>
          <w:color w:val="1A1A1A"/>
        </w:rPr>
        <w:t>l</w:t>
      </w:r>
      <w:r>
        <w:rPr>
          <w:rFonts w:ascii="Times New Roman" w:cs="Times New Roman" w:eastAsia="Times New Roman" w:hAnsi="Times New Roman"/>
          <w:sz w:val="20"/>
          <w:szCs w:val="20"/>
          <w:color w:val="3F3F3F"/>
        </w:rPr>
        <w:t xml:space="preserve"> fair </w:t>
      </w:r>
      <w:r>
        <w:rPr>
          <w:rFonts w:ascii="Times New Roman" w:cs="Times New Roman" w:eastAsia="Times New Roman" w:hAnsi="Times New Roman"/>
          <w:sz w:val="20"/>
          <w:szCs w:val="20"/>
          <w:color w:val="2B2B2B"/>
        </w:rPr>
        <w:t>market</w:t>
      </w:r>
      <w:r>
        <w:rPr>
          <w:rFonts w:ascii="Times New Roman" w:cs="Times New Roman" w:eastAsia="Times New Roman" w:hAnsi="Times New Roman"/>
          <w:sz w:val="20"/>
          <w:szCs w:val="20"/>
          <w:color w:val="3F3F3F"/>
        </w:rPr>
        <w:t xml:space="preserve"> value equal to forty percent (40%) or more of the </w:t>
      </w:r>
      <w:r>
        <w:rPr>
          <w:rFonts w:ascii="Times New Roman" w:cs="Times New Roman" w:eastAsia="Times New Roman" w:hAnsi="Times New Roman"/>
          <w:sz w:val="20"/>
          <w:szCs w:val="20"/>
          <w:color w:val="2B2B2B"/>
        </w:rPr>
        <w:t>total</w:t>
      </w:r>
      <w:r>
        <w:rPr>
          <w:rFonts w:ascii="Times New Roman" w:cs="Times New Roman" w:eastAsia="Times New Roman" w:hAnsi="Times New Roman"/>
          <w:sz w:val="20"/>
          <w:szCs w:val="20"/>
          <w:color w:val="3F3F3F"/>
        </w:rPr>
        <w:t xml:space="preserve"> fair market value of </w:t>
      </w:r>
      <w:r>
        <w:rPr>
          <w:rFonts w:ascii="Times New Roman" w:cs="Times New Roman" w:eastAsia="Times New Roman" w:hAnsi="Times New Roman"/>
          <w:sz w:val="20"/>
          <w:szCs w:val="20"/>
          <w:color w:val="2B2B2B"/>
        </w:rPr>
        <w:t>all of</w:t>
      </w:r>
      <w:r>
        <w:rPr>
          <w:rFonts w:ascii="Times New Roman" w:cs="Times New Roman" w:eastAsia="Times New Roman" w:hAnsi="Times New Roman"/>
          <w:sz w:val="20"/>
          <w:szCs w:val="20"/>
          <w:color w:val="3F3F3F"/>
        </w:rPr>
        <w:t xml:space="preserve"> the assets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Company </w:t>
      </w:r>
      <w:r>
        <w:rPr>
          <w:rFonts w:ascii="Times New Roman" w:cs="Times New Roman" w:eastAsia="Times New Roman" w:hAnsi="Times New Roman"/>
          <w:sz w:val="20"/>
          <w:szCs w:val="20"/>
          <w:color w:val="2B2B2B"/>
        </w:rPr>
        <w:t>immediately</w:t>
      </w:r>
      <w:r>
        <w:rPr>
          <w:rFonts w:ascii="Times New Roman" w:cs="Times New Roman" w:eastAsia="Times New Roman" w:hAnsi="Times New Roman"/>
          <w:sz w:val="20"/>
          <w:szCs w:val="20"/>
          <w:color w:val="3F3F3F"/>
        </w:rPr>
        <w:t xml:space="preserve"> prior </w:t>
      </w:r>
      <w:r>
        <w:rPr>
          <w:rFonts w:ascii="Times New Roman" w:cs="Times New Roman" w:eastAsia="Times New Roman" w:hAnsi="Times New Roman"/>
          <w:sz w:val="20"/>
          <w:szCs w:val="20"/>
          <w:color w:val="2B2B2B"/>
        </w:rPr>
        <w:t>to</w:t>
      </w:r>
      <w:r>
        <w:rPr>
          <w:rFonts w:ascii="Times New Roman" w:cs="Times New Roman" w:eastAsia="Times New Roman" w:hAnsi="Times New Roman"/>
          <w:sz w:val="20"/>
          <w:szCs w:val="20"/>
          <w:color w:val="3F3F3F"/>
        </w:rPr>
        <w:t xml:space="preserve"> such acquisition or </w:t>
      </w:r>
      <w:r>
        <w:rPr>
          <w:rFonts w:ascii="Times New Roman" w:cs="Times New Roman" w:eastAsia="Times New Roman" w:hAnsi="Times New Roman"/>
          <w:sz w:val="20"/>
          <w:szCs w:val="20"/>
          <w:color w:val="2B2B2B"/>
        </w:rPr>
        <w:t>acquisitions</w:t>
      </w:r>
      <w:r>
        <w:rPr>
          <w:rFonts w:ascii="Times New Roman" w:cs="Times New Roman" w:eastAsia="Times New Roman" w:hAnsi="Times New Roman"/>
          <w:sz w:val="20"/>
          <w:szCs w:val="20"/>
          <w:color w:val="3F3F3F"/>
        </w:rPr>
        <w:t xml:space="preserve"> unless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assets </w:t>
      </w:r>
      <w:r>
        <w:rPr>
          <w:rFonts w:ascii="Times New Roman" w:cs="Times New Roman" w:eastAsia="Times New Roman" w:hAnsi="Times New Roman"/>
          <w:sz w:val="20"/>
          <w:szCs w:val="20"/>
          <w:color w:val="2B2B2B"/>
        </w:rPr>
        <w:t>are</w:t>
      </w:r>
      <w:r>
        <w:rPr>
          <w:rFonts w:ascii="Times New Roman" w:cs="Times New Roman" w:eastAsia="Times New Roman" w:hAnsi="Times New Roman"/>
          <w:sz w:val="20"/>
          <w:szCs w:val="20"/>
          <w:color w:val="3F3F3F"/>
        </w:rPr>
        <w:t xml:space="preserve"> transferred </w:t>
      </w:r>
      <w:r>
        <w:rPr>
          <w:rFonts w:ascii="Times New Roman" w:cs="Times New Roman" w:eastAsia="Times New Roman" w:hAnsi="Times New Roman"/>
          <w:sz w:val="20"/>
          <w:szCs w:val="20"/>
          <w:color w:val="2B2B2B"/>
        </w:rPr>
        <w:t>to:</w:t>
      </w:r>
      <w:r>
        <w:rPr>
          <w:rFonts w:ascii="Times New Roman" w:cs="Times New Roman" w:eastAsia="Times New Roman" w:hAnsi="Times New Roman"/>
          <w:sz w:val="20"/>
          <w:szCs w:val="20"/>
          <w:color w:val="3F3F3F"/>
        </w:rPr>
        <w:t xml:space="preserve"> a </w:t>
      </w:r>
      <w:r>
        <w:rPr>
          <w:rFonts w:ascii="Times New Roman" w:cs="Times New Roman" w:eastAsia="Times New Roman" w:hAnsi="Times New Roman"/>
          <w:sz w:val="20"/>
          <w:szCs w:val="20"/>
          <w:color w:val="2B2B2B"/>
        </w:rPr>
        <w:t xml:space="preserve">stockholder </w:t>
      </w:r>
      <w:r>
        <w:rPr>
          <w:rFonts w:ascii="Times New Roman" w:cs="Times New Roman" w:eastAsia="Times New Roman" w:hAnsi="Times New Roman"/>
          <w:sz w:val="20"/>
          <w:szCs w:val="20"/>
          <w:color w:val="3F3F3F"/>
        </w:rPr>
        <w:t>of</w:t>
      </w:r>
      <w:r>
        <w:rPr>
          <w:rFonts w:ascii="Times New Roman" w:cs="Times New Roman" w:eastAsia="Times New Roman" w:hAnsi="Times New Roman"/>
          <w:sz w:val="20"/>
          <w:szCs w:val="20"/>
          <w:color w:val="2B2B2B"/>
        </w:rPr>
        <w:t xml:space="preserve"> the </w:t>
      </w:r>
      <w:r>
        <w:rPr>
          <w:rFonts w:ascii="Times New Roman" w:cs="Times New Roman" w:eastAsia="Times New Roman" w:hAnsi="Times New Roman"/>
          <w:sz w:val="20"/>
          <w:szCs w:val="20"/>
          <w:color w:val="3F3F3F"/>
        </w:rPr>
        <w:t>Company (immediately</w:t>
      </w:r>
      <w:r>
        <w:rPr>
          <w:rFonts w:ascii="Times New Roman" w:cs="Times New Roman" w:eastAsia="Times New Roman" w:hAnsi="Times New Roman"/>
          <w:sz w:val="20"/>
          <w:szCs w:val="20"/>
          <w:color w:val="2B2B2B"/>
        </w:rPr>
        <w:t xml:space="preserve"> before </w:t>
      </w:r>
      <w:r>
        <w:rPr>
          <w:rFonts w:ascii="Times New Roman" w:cs="Times New Roman" w:eastAsia="Times New Roman" w:hAnsi="Times New Roman"/>
          <w:sz w:val="20"/>
          <w:szCs w:val="20"/>
          <w:color w:val="3F3F3F"/>
        </w:rPr>
        <w:t>the asset transfer)</w:t>
      </w:r>
      <w:r>
        <w:rPr>
          <w:rFonts w:ascii="Times New Roman" w:cs="Times New Roman" w:eastAsia="Times New Roman" w:hAnsi="Times New Roman"/>
          <w:sz w:val="20"/>
          <w:szCs w:val="20"/>
          <w:color w:val="2B2B2B"/>
        </w:rPr>
        <w:t xml:space="preserve"> in </w:t>
      </w:r>
      <w:r>
        <w:rPr>
          <w:rFonts w:ascii="Times New Roman" w:cs="Times New Roman" w:eastAsia="Times New Roman" w:hAnsi="Times New Roman"/>
          <w:sz w:val="20"/>
          <w:szCs w:val="20"/>
          <w:color w:val="3F3F3F"/>
        </w:rPr>
        <w:t>exchange for or with</w:t>
      </w:r>
      <w:r>
        <w:rPr>
          <w:rFonts w:ascii="Times New Roman" w:cs="Times New Roman" w:eastAsia="Times New Roman" w:hAnsi="Times New Roman"/>
          <w:sz w:val="20"/>
          <w:szCs w:val="20"/>
          <w:color w:val="2B2B2B"/>
        </w:rPr>
        <w:t xml:space="preserve"> respect to </w:t>
      </w:r>
      <w:r>
        <w:rPr>
          <w:rFonts w:ascii="Times New Roman" w:cs="Times New Roman" w:eastAsia="Times New Roman" w:hAnsi="Times New Roman"/>
          <w:sz w:val="20"/>
          <w:szCs w:val="20"/>
          <w:color w:val="3F3F3F"/>
        </w:rPr>
        <w:t>its stock; an entity,</w:t>
      </w:r>
      <w:r>
        <w:rPr>
          <w:rFonts w:ascii="Times New Roman" w:cs="Times New Roman" w:eastAsia="Times New Roman" w:hAnsi="Times New Roman"/>
          <w:sz w:val="20"/>
          <w:szCs w:val="20"/>
          <w:color w:val="2B2B2B"/>
        </w:rPr>
        <w:t xml:space="preserve"> fifty </w:t>
      </w:r>
      <w:r>
        <w:rPr>
          <w:rFonts w:ascii="Times New Roman" w:cs="Times New Roman" w:eastAsia="Times New Roman" w:hAnsi="Times New Roman"/>
          <w:sz w:val="20"/>
          <w:szCs w:val="20"/>
          <w:color w:val="3F3F3F"/>
        </w:rPr>
        <w:t>percent (50%)</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0"/>
          <w:szCs w:val="20"/>
          <w:color w:val="3F3F3F"/>
        </w:rPr>
        <w:t xml:space="preserve">or more of the </w:t>
      </w:r>
      <w:r>
        <w:rPr>
          <w:rFonts w:ascii="Times New Roman" w:cs="Times New Roman" w:eastAsia="Times New Roman" w:hAnsi="Times New Roman"/>
          <w:sz w:val="20"/>
          <w:szCs w:val="20"/>
          <w:color w:val="2B2B2B"/>
        </w:rPr>
        <w:t>total</w:t>
      </w:r>
      <w:r>
        <w:rPr>
          <w:rFonts w:ascii="Times New Roman" w:cs="Times New Roman" w:eastAsia="Times New Roman" w:hAnsi="Times New Roman"/>
          <w:sz w:val="20"/>
          <w:szCs w:val="20"/>
          <w:color w:val="3F3F3F"/>
        </w:rPr>
        <w:t xml:space="preserve"> value </w:t>
      </w:r>
      <w:r>
        <w:rPr>
          <w:rFonts w:ascii="Times New Roman" w:cs="Times New Roman" w:eastAsia="Times New Roman" w:hAnsi="Times New Roman"/>
          <w:sz w:val="20"/>
          <w:szCs w:val="20"/>
          <w:color w:val="2B2B2B"/>
        </w:rPr>
        <w:t>or</w:t>
      </w:r>
      <w:r>
        <w:rPr>
          <w:rFonts w:ascii="Times New Roman" w:cs="Times New Roman" w:eastAsia="Times New Roman" w:hAnsi="Times New Roman"/>
          <w:sz w:val="20"/>
          <w:szCs w:val="20"/>
          <w:color w:val="3F3F3F"/>
        </w:rPr>
        <w:t xml:space="preserve"> voting </w:t>
      </w:r>
      <w:r>
        <w:rPr>
          <w:rFonts w:ascii="Times New Roman" w:cs="Times New Roman" w:eastAsia="Times New Roman" w:hAnsi="Times New Roman"/>
          <w:sz w:val="20"/>
          <w:szCs w:val="20"/>
          <w:color w:val="2B2B2B"/>
        </w:rPr>
        <w:t>power</w:t>
      </w:r>
      <w:r>
        <w:rPr>
          <w:rFonts w:ascii="Times New Roman" w:cs="Times New Roman" w:eastAsia="Times New Roman" w:hAnsi="Times New Roman"/>
          <w:sz w:val="20"/>
          <w:szCs w:val="20"/>
          <w:color w:val="3F3F3F"/>
        </w:rPr>
        <w:t xml:space="preserve"> of which </w:t>
      </w:r>
      <w:r>
        <w:rPr>
          <w:rFonts w:ascii="Times New Roman" w:cs="Times New Roman" w:eastAsia="Times New Roman" w:hAnsi="Times New Roman"/>
          <w:sz w:val="20"/>
          <w:szCs w:val="20"/>
          <w:color w:val="2B2B2B"/>
        </w:rPr>
        <w:t>is</w:t>
      </w:r>
      <w:r>
        <w:rPr>
          <w:rFonts w:ascii="Times New Roman" w:cs="Times New Roman" w:eastAsia="Times New Roman" w:hAnsi="Times New Roman"/>
          <w:sz w:val="20"/>
          <w:szCs w:val="20"/>
          <w:color w:val="3F3F3F"/>
        </w:rPr>
        <w:t xml:space="preserve"> owned, </w:t>
      </w:r>
      <w:r>
        <w:rPr>
          <w:rFonts w:ascii="Times New Roman" w:cs="Times New Roman" w:eastAsia="Times New Roman" w:hAnsi="Times New Roman"/>
          <w:sz w:val="20"/>
          <w:szCs w:val="20"/>
          <w:color w:val="2B2B2B"/>
        </w:rPr>
        <w:t>directly</w:t>
      </w:r>
      <w:r>
        <w:rPr>
          <w:rFonts w:ascii="Times New Roman" w:cs="Times New Roman" w:eastAsia="Times New Roman" w:hAnsi="Times New Roman"/>
          <w:sz w:val="20"/>
          <w:szCs w:val="20"/>
          <w:color w:val="3F3F3F"/>
        </w:rPr>
        <w:t xml:space="preserve"> or </w:t>
      </w:r>
      <w:r>
        <w:rPr>
          <w:rFonts w:ascii="Times New Roman" w:cs="Times New Roman" w:eastAsia="Times New Roman" w:hAnsi="Times New Roman"/>
          <w:sz w:val="20"/>
          <w:szCs w:val="20"/>
          <w:color w:val="2B2B2B"/>
        </w:rPr>
        <w:t>indirectly</w:t>
      </w:r>
      <w:r>
        <w:rPr>
          <w:rFonts w:ascii="Times New Roman" w:cs="Times New Roman" w:eastAsia="Times New Roman" w:hAnsi="Times New Roman"/>
          <w:sz w:val="20"/>
          <w:szCs w:val="20"/>
          <w:color w:val="3F3F3F"/>
        </w:rPr>
        <w:t xml:space="preserve"> by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Company; </w:t>
      </w:r>
      <w:r>
        <w:rPr>
          <w:rFonts w:ascii="Times New Roman" w:cs="Times New Roman" w:eastAsia="Times New Roman" w:hAnsi="Times New Roman"/>
          <w:sz w:val="20"/>
          <w:szCs w:val="20"/>
          <w:color w:val="2B2B2B"/>
        </w:rPr>
        <w:t>a</w:t>
      </w:r>
      <w:r>
        <w:rPr>
          <w:rFonts w:ascii="Times New Roman" w:cs="Times New Roman" w:eastAsia="Times New Roman" w:hAnsi="Times New Roman"/>
          <w:sz w:val="20"/>
          <w:szCs w:val="20"/>
          <w:color w:val="3F3F3F"/>
        </w:rPr>
        <w:t xml:space="preserve"> person, or more than </w:t>
      </w:r>
      <w:r>
        <w:rPr>
          <w:rFonts w:ascii="Times New Roman" w:cs="Times New Roman" w:eastAsia="Times New Roman" w:hAnsi="Times New Roman"/>
          <w:sz w:val="20"/>
          <w:szCs w:val="20"/>
          <w:color w:val="2B2B2B"/>
        </w:rPr>
        <w:t>one person</w:t>
      </w:r>
      <w:r>
        <w:rPr>
          <w:rFonts w:ascii="Times New Roman" w:cs="Times New Roman" w:eastAsia="Times New Roman" w:hAnsi="Times New Roman"/>
          <w:sz w:val="20"/>
          <w:szCs w:val="20"/>
          <w:color w:val="3F3F3F"/>
        </w:rPr>
        <w:t xml:space="preserve"> acting as a group, that owns</w:t>
      </w:r>
      <w:r>
        <w:rPr>
          <w:rFonts w:ascii="Times New Roman" w:cs="Times New Roman" w:eastAsia="Times New Roman" w:hAnsi="Times New Roman"/>
          <w:sz w:val="20"/>
          <w:szCs w:val="20"/>
          <w:color w:val="5D5D5D"/>
        </w:rPr>
        <w:t>,</w:t>
      </w:r>
      <w:r>
        <w:rPr>
          <w:rFonts w:ascii="Times New Roman" w:cs="Times New Roman" w:eastAsia="Times New Roman" w:hAnsi="Times New Roman"/>
          <w:sz w:val="20"/>
          <w:szCs w:val="20"/>
          <w:color w:val="3F3F3F"/>
        </w:rPr>
        <w:t xml:space="preserve"> directly or indirectly, fifty percent (50%) or more </w:t>
      </w:r>
      <w:r>
        <w:rPr>
          <w:rFonts w:ascii="Times New Roman" w:cs="Times New Roman" w:eastAsia="Times New Roman" w:hAnsi="Times New Roman"/>
          <w:sz w:val="20"/>
          <w:szCs w:val="20"/>
          <w:color w:val="2B2B2B"/>
        </w:rPr>
        <w:t>of the total</w:t>
      </w:r>
      <w:r>
        <w:rPr>
          <w:rFonts w:ascii="Times New Roman" w:cs="Times New Roman" w:eastAsia="Times New Roman" w:hAnsi="Times New Roman"/>
          <w:sz w:val="20"/>
          <w:szCs w:val="20"/>
          <w:color w:val="3F3F3F"/>
        </w:rPr>
        <w:t xml:space="preserve"> value or voting power of all of the outstanding stock of the Company; or an entity, at least fifty percent (50%) of </w:t>
      </w:r>
      <w:r>
        <w:rPr>
          <w:rFonts w:ascii="Times New Roman" w:cs="Times New Roman" w:eastAsia="Times New Roman" w:hAnsi="Times New Roman"/>
          <w:sz w:val="20"/>
          <w:szCs w:val="20"/>
          <w:color w:val="2B2B2B"/>
        </w:rPr>
        <w:t>the</w:t>
      </w:r>
      <w:r>
        <w:rPr>
          <w:rFonts w:ascii="Times New Roman" w:cs="Times New Roman" w:eastAsia="Times New Roman" w:hAnsi="Times New Roman"/>
          <w:sz w:val="20"/>
          <w:szCs w:val="20"/>
          <w:color w:val="3F3F3F"/>
        </w:rPr>
        <w:t xml:space="preserve"> total value or voting power is owned, directly or indirect</w:t>
      </w:r>
      <w:r>
        <w:rPr>
          <w:rFonts w:ascii="Times New Roman" w:cs="Times New Roman" w:eastAsia="Times New Roman" w:hAnsi="Times New Roman"/>
          <w:sz w:val="20"/>
          <w:szCs w:val="20"/>
          <w:color w:val="1A1A1A"/>
        </w:rPr>
        <w:t>l</w:t>
      </w:r>
      <w:r>
        <w:rPr>
          <w:rFonts w:ascii="Times New Roman" w:cs="Times New Roman" w:eastAsia="Times New Roman" w:hAnsi="Times New Roman"/>
          <w:sz w:val="20"/>
          <w:szCs w:val="20"/>
          <w:color w:val="3F3F3F"/>
        </w:rPr>
        <w:t>y, by a person</w:t>
      </w:r>
      <w:r>
        <w:rPr>
          <w:rFonts w:ascii="Times New Roman" w:cs="Times New Roman" w:eastAsia="Times New Roman" w:hAnsi="Times New Roman"/>
          <w:sz w:val="20"/>
          <w:szCs w:val="20"/>
          <w:color w:val="5D5D5D"/>
        </w:rPr>
        <w:t>,</w:t>
      </w:r>
      <w:r>
        <w:rPr>
          <w:rFonts w:ascii="Times New Roman" w:cs="Times New Roman" w:eastAsia="Times New Roman" w:hAnsi="Times New Roman"/>
          <w:sz w:val="20"/>
          <w:szCs w:val="20"/>
          <w:color w:val="3F3F3F"/>
        </w:rPr>
        <w:t xml:space="preserve"> or more tha</w:t>
      </w:r>
      <w:r>
        <w:rPr>
          <w:rFonts w:ascii="Times New Roman" w:cs="Times New Roman" w:eastAsia="Times New Roman" w:hAnsi="Times New Roman"/>
          <w:sz w:val="20"/>
          <w:szCs w:val="20"/>
          <w:color w:val="5D5D5D"/>
        </w:rPr>
        <w:t>n</w:t>
      </w:r>
      <w:r>
        <w:rPr>
          <w:rFonts w:ascii="Times New Roman" w:cs="Times New Roman" w:eastAsia="Times New Roman" w:hAnsi="Times New Roman"/>
          <w:sz w:val="20"/>
          <w:szCs w:val="20"/>
          <w:color w:val="3F3F3F"/>
        </w:rPr>
        <w:t xml:space="preserve"> one person acting as </w:t>
      </w:r>
      <w:r>
        <w:rPr>
          <w:rFonts w:ascii="Times New Roman" w:cs="Times New Roman" w:eastAsia="Times New Roman" w:hAnsi="Times New Roman"/>
          <w:sz w:val="20"/>
          <w:szCs w:val="20"/>
          <w:color w:val="2B2B2B"/>
        </w:rPr>
        <w:t>a</w:t>
      </w:r>
      <w:r>
        <w:rPr>
          <w:rFonts w:ascii="Times New Roman" w:cs="Times New Roman" w:eastAsia="Times New Roman" w:hAnsi="Times New Roman"/>
          <w:sz w:val="20"/>
          <w:szCs w:val="20"/>
          <w:color w:val="3F3F3F"/>
        </w:rPr>
        <w:t xml:space="preserve"> group, </w:t>
      </w:r>
      <w:r>
        <w:rPr>
          <w:rFonts w:ascii="Times New Roman" w:cs="Times New Roman" w:eastAsia="Times New Roman" w:hAnsi="Times New Roman"/>
          <w:sz w:val="20"/>
          <w:szCs w:val="20"/>
          <w:color w:val="2B2B2B"/>
        </w:rPr>
        <w:t>that</w:t>
      </w:r>
      <w:r>
        <w:rPr>
          <w:rFonts w:ascii="Times New Roman" w:cs="Times New Roman" w:eastAsia="Times New Roman" w:hAnsi="Times New Roman"/>
          <w:sz w:val="20"/>
          <w:szCs w:val="20"/>
          <w:color w:val="3F3F3F"/>
        </w:rPr>
        <w:t xml:space="preserve"> owns directly or indirectly, fifty percent (50%) or more of the total value of voting power of all of the outstanding stock of the Company</w:t>
      </w:r>
      <w:r>
        <w:rPr>
          <w:rFonts w:ascii="Times New Roman" w:cs="Times New Roman" w:eastAsia="Times New Roman" w:hAnsi="Times New Roman"/>
          <w:sz w:val="20"/>
          <w:szCs w:val="20"/>
          <w:color w:val="8C8C8C"/>
        </w:rPr>
        <w:t>.</w:t>
      </w:r>
    </w:p>
    <w:p>
      <w:pPr>
        <w:spacing w:after="0" w:line="205" w:lineRule="exact"/>
        <w:rPr>
          <w:rFonts w:ascii="Times New Roman" w:cs="Times New Roman" w:eastAsia="Times New Roman" w:hAnsi="Times New Roman"/>
          <w:sz w:val="21"/>
          <w:szCs w:val="21"/>
          <w:color w:val="3F3F3F"/>
        </w:rPr>
      </w:pPr>
    </w:p>
    <w:p>
      <w:pPr>
        <w:ind w:left="-10" w:right="120" w:firstLine="1293"/>
        <w:spacing w:after="0" w:line="288" w:lineRule="auto"/>
        <w:tabs>
          <w:tab w:leader="none" w:pos="1698"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3F3F3F"/>
        </w:rPr>
        <w:t xml:space="preserve">TAXES. In the event </w:t>
      </w:r>
      <w:r>
        <w:rPr>
          <w:rFonts w:ascii="Times New Roman" w:cs="Times New Roman" w:eastAsia="Times New Roman" w:hAnsi="Times New Roman"/>
          <w:sz w:val="19"/>
          <w:szCs w:val="19"/>
          <w:color w:val="2B2B2B"/>
        </w:rPr>
        <w:t>it shall</w:t>
      </w:r>
      <w:r>
        <w:rPr>
          <w:rFonts w:ascii="Times New Roman" w:cs="Times New Roman" w:eastAsia="Times New Roman" w:hAnsi="Times New Roman"/>
          <w:sz w:val="19"/>
          <w:szCs w:val="19"/>
          <w:color w:val="3F3F3F"/>
        </w:rPr>
        <w:t xml:space="preserve"> be determined that any payment or distribution by </w:t>
      </w:r>
      <w:r>
        <w:rPr>
          <w:rFonts w:ascii="Times New Roman" w:cs="Times New Roman" w:eastAsia="Times New Roman" w:hAnsi="Times New Roman"/>
          <w:sz w:val="19"/>
          <w:szCs w:val="19"/>
          <w:color w:val="2B2B2B"/>
        </w:rPr>
        <w:t>the</w:t>
      </w:r>
      <w:r>
        <w:rPr>
          <w:rFonts w:ascii="Times New Roman" w:cs="Times New Roman" w:eastAsia="Times New Roman" w:hAnsi="Times New Roman"/>
          <w:sz w:val="19"/>
          <w:szCs w:val="19"/>
          <w:color w:val="3F3F3F"/>
        </w:rPr>
        <w:t xml:space="preserve"> Company to or for the benefit of </w:t>
      </w:r>
      <w:r>
        <w:rPr>
          <w:rFonts w:ascii="Times New Roman" w:cs="Times New Roman" w:eastAsia="Times New Roman" w:hAnsi="Times New Roman"/>
          <w:sz w:val="19"/>
          <w:szCs w:val="19"/>
          <w:color w:val="2B2B2B"/>
        </w:rPr>
        <w:t>th</w:t>
      </w:r>
      <w:r>
        <w:rPr>
          <w:rFonts w:ascii="Times New Roman" w:cs="Times New Roman" w:eastAsia="Times New Roman" w:hAnsi="Times New Roman"/>
          <w:sz w:val="19"/>
          <w:szCs w:val="19"/>
          <w:color w:val="5D5D5D"/>
        </w:rPr>
        <w:t>e</w:t>
      </w:r>
      <w:r>
        <w:rPr>
          <w:rFonts w:ascii="Times New Roman" w:cs="Times New Roman" w:eastAsia="Times New Roman" w:hAnsi="Times New Roman"/>
          <w:sz w:val="19"/>
          <w:szCs w:val="19"/>
          <w:color w:val="3F3F3F"/>
        </w:rPr>
        <w:t xml:space="preserve"> Executive </w:t>
      </w:r>
      <w:r>
        <w:rPr>
          <w:rFonts w:ascii="Times New Roman" w:cs="Times New Roman" w:eastAsia="Times New Roman" w:hAnsi="Times New Roman"/>
          <w:sz w:val="19"/>
          <w:szCs w:val="19"/>
          <w:color w:val="2B2B2B"/>
        </w:rPr>
        <w:t>in the</w:t>
      </w:r>
      <w:r>
        <w:rPr>
          <w:rFonts w:ascii="Times New Roman" w:cs="Times New Roman" w:eastAsia="Times New Roman" w:hAnsi="Times New Roman"/>
          <w:sz w:val="19"/>
          <w:szCs w:val="19"/>
          <w:color w:val="3F3F3F"/>
        </w:rPr>
        <w:t xml:space="preserve"> event of a Change in Control, whether paid or payable or </w:t>
      </w:r>
      <w:r>
        <w:rPr>
          <w:rFonts w:ascii="Times New Roman" w:cs="Times New Roman" w:eastAsia="Times New Roman" w:hAnsi="Times New Roman"/>
          <w:sz w:val="19"/>
          <w:szCs w:val="19"/>
          <w:color w:val="2B2B2B"/>
        </w:rPr>
        <w:t>distributed</w:t>
      </w:r>
      <w:r>
        <w:rPr>
          <w:rFonts w:ascii="Times New Roman" w:cs="Times New Roman" w:eastAsia="Times New Roman" w:hAnsi="Times New Roman"/>
          <w:sz w:val="19"/>
          <w:szCs w:val="19"/>
          <w:color w:val="3F3F3F"/>
        </w:rPr>
        <w:t xml:space="preserve"> or distributable </w:t>
      </w:r>
      <w:r>
        <w:rPr>
          <w:rFonts w:ascii="Times New Roman" w:cs="Times New Roman" w:eastAsia="Times New Roman" w:hAnsi="Times New Roman"/>
          <w:sz w:val="19"/>
          <w:szCs w:val="19"/>
          <w:color w:val="2B2B2B"/>
        </w:rPr>
        <w:t>pursuant</w:t>
      </w:r>
      <w:r>
        <w:rPr>
          <w:rFonts w:ascii="Times New Roman" w:cs="Times New Roman" w:eastAsia="Times New Roman" w:hAnsi="Times New Roman"/>
          <w:sz w:val="19"/>
          <w:szCs w:val="19"/>
          <w:color w:val="3F3F3F"/>
        </w:rPr>
        <w:t xml:space="preserve"> to the </w:t>
      </w:r>
      <w:r>
        <w:rPr>
          <w:rFonts w:ascii="Times New Roman" w:cs="Times New Roman" w:eastAsia="Times New Roman" w:hAnsi="Times New Roman"/>
          <w:sz w:val="19"/>
          <w:szCs w:val="19"/>
          <w:color w:val="2B2B2B"/>
        </w:rPr>
        <w:t>terms of</w:t>
      </w:r>
      <w:r>
        <w:rPr>
          <w:rFonts w:ascii="Times New Roman" w:cs="Times New Roman" w:eastAsia="Times New Roman" w:hAnsi="Times New Roman"/>
          <w:sz w:val="19"/>
          <w:szCs w:val="19"/>
          <w:color w:val="3F3F3F"/>
        </w:rPr>
        <w:t xml:space="preserve"> this Agreement or otherwise, (a </w:t>
      </w:r>
      <w:r>
        <w:rPr>
          <w:rFonts w:ascii="Times New Roman" w:cs="Times New Roman" w:eastAsia="Times New Roman" w:hAnsi="Times New Roman"/>
          <w:sz w:val="19"/>
          <w:szCs w:val="19"/>
          <w:color w:val="5D5D5D"/>
        </w:rPr>
        <w:t>"</w:t>
      </w:r>
      <w:r>
        <w:rPr>
          <w:rFonts w:ascii="Times New Roman" w:cs="Times New Roman" w:eastAsia="Times New Roman" w:hAnsi="Times New Roman"/>
          <w:sz w:val="19"/>
          <w:szCs w:val="19"/>
          <w:color w:val="3F3F3F"/>
        </w:rPr>
        <w:t xml:space="preserve">Change </w:t>
      </w:r>
      <w:r>
        <w:rPr>
          <w:rFonts w:ascii="Times New Roman" w:cs="Times New Roman" w:eastAsia="Times New Roman" w:hAnsi="Times New Roman"/>
          <w:sz w:val="19"/>
          <w:szCs w:val="19"/>
          <w:color w:val="5D5D5D"/>
        </w:rPr>
        <w:t>i</w:t>
      </w:r>
      <w:r>
        <w:rPr>
          <w:rFonts w:ascii="Times New Roman" w:cs="Times New Roman" w:eastAsia="Times New Roman" w:hAnsi="Times New Roman"/>
          <w:sz w:val="19"/>
          <w:szCs w:val="19"/>
          <w:color w:val="3F3F3F"/>
        </w:rPr>
        <w:t xml:space="preserve">n Control </w:t>
      </w:r>
      <w:r>
        <w:rPr>
          <w:rFonts w:ascii="Times New Roman" w:cs="Times New Roman" w:eastAsia="Times New Roman" w:hAnsi="Times New Roman"/>
          <w:sz w:val="19"/>
          <w:szCs w:val="19"/>
          <w:color w:val="5D5D5D"/>
        </w:rPr>
        <w:t>P</w:t>
      </w:r>
      <w:r>
        <w:rPr>
          <w:rFonts w:ascii="Times New Roman" w:cs="Times New Roman" w:eastAsia="Times New Roman" w:hAnsi="Times New Roman"/>
          <w:sz w:val="19"/>
          <w:szCs w:val="19"/>
          <w:color w:val="3F3F3F"/>
        </w:rPr>
        <w:t xml:space="preserve">ayment") would be subject to </w:t>
      </w:r>
      <w:r>
        <w:rPr>
          <w:rFonts w:ascii="Times New Roman" w:cs="Times New Roman" w:eastAsia="Times New Roman" w:hAnsi="Times New Roman"/>
          <w:sz w:val="19"/>
          <w:szCs w:val="19"/>
          <w:color w:val="2B2B2B"/>
        </w:rPr>
        <w:t>the</w:t>
      </w:r>
      <w:r>
        <w:rPr>
          <w:rFonts w:ascii="Times New Roman" w:cs="Times New Roman" w:eastAsia="Times New Roman" w:hAnsi="Times New Roman"/>
          <w:sz w:val="19"/>
          <w:szCs w:val="19"/>
          <w:color w:val="3F3F3F"/>
        </w:rPr>
        <w:t xml:space="preserve"> excise </w:t>
      </w:r>
      <w:r>
        <w:rPr>
          <w:rFonts w:ascii="Times New Roman" w:cs="Times New Roman" w:eastAsia="Times New Roman" w:hAnsi="Times New Roman"/>
          <w:sz w:val="19"/>
          <w:szCs w:val="19"/>
          <w:color w:val="2B2B2B"/>
        </w:rPr>
        <w:t>tax</w:t>
      </w:r>
      <w:r>
        <w:rPr>
          <w:rFonts w:ascii="Times New Roman" w:cs="Times New Roman" w:eastAsia="Times New Roman" w:hAnsi="Times New Roman"/>
          <w:sz w:val="19"/>
          <w:szCs w:val="19"/>
          <w:color w:val="3F3F3F"/>
        </w:rPr>
        <w:t xml:space="preserve"> imposed by Section 4999 of the Interna</w:t>
      </w:r>
      <w:r>
        <w:rPr>
          <w:rFonts w:ascii="Times New Roman" w:cs="Times New Roman" w:eastAsia="Times New Roman" w:hAnsi="Times New Roman"/>
          <w:sz w:val="19"/>
          <w:szCs w:val="19"/>
          <w:color w:val="1A1A1A"/>
        </w:rPr>
        <w:t>l</w:t>
      </w:r>
      <w:r>
        <w:rPr>
          <w:rFonts w:ascii="Times New Roman" w:cs="Times New Roman" w:eastAsia="Times New Roman" w:hAnsi="Times New Roman"/>
          <w:sz w:val="19"/>
          <w:szCs w:val="19"/>
          <w:color w:val="3F3F3F"/>
        </w:rPr>
        <w:t xml:space="preserve"> Revenue Code of 1986, as amended (the </w:t>
      </w:r>
      <w:r>
        <w:rPr>
          <w:rFonts w:ascii="Times New Roman" w:cs="Times New Roman" w:eastAsia="Times New Roman" w:hAnsi="Times New Roman"/>
          <w:sz w:val="19"/>
          <w:szCs w:val="19"/>
          <w:color w:val="5D5D5D"/>
        </w:rPr>
        <w:t>"</w:t>
      </w:r>
      <w:r>
        <w:rPr>
          <w:rFonts w:ascii="Times New Roman" w:cs="Times New Roman" w:eastAsia="Times New Roman" w:hAnsi="Times New Roman"/>
          <w:sz w:val="19"/>
          <w:szCs w:val="19"/>
          <w:color w:val="3F3F3F"/>
        </w:rPr>
        <w:t xml:space="preserve">Code") or any interest or penalties are incurred by the Executive with </w:t>
      </w:r>
      <w:r>
        <w:rPr>
          <w:rFonts w:ascii="Times New Roman" w:cs="Times New Roman" w:eastAsia="Times New Roman" w:hAnsi="Times New Roman"/>
          <w:sz w:val="19"/>
          <w:szCs w:val="19"/>
          <w:color w:val="2B2B2B"/>
        </w:rPr>
        <w:t>respect to</w:t>
      </w:r>
      <w:r>
        <w:rPr>
          <w:rFonts w:ascii="Times New Roman" w:cs="Times New Roman" w:eastAsia="Times New Roman" w:hAnsi="Times New Roman"/>
          <w:sz w:val="19"/>
          <w:szCs w:val="19"/>
          <w:color w:val="3F3F3F"/>
        </w:rPr>
        <w:t xml:space="preserve"> such excise </w:t>
      </w:r>
      <w:r>
        <w:rPr>
          <w:rFonts w:ascii="Times New Roman" w:cs="Times New Roman" w:eastAsia="Times New Roman" w:hAnsi="Times New Roman"/>
          <w:sz w:val="19"/>
          <w:szCs w:val="19"/>
          <w:color w:val="2B2B2B"/>
        </w:rPr>
        <w:t>tax</w:t>
      </w:r>
      <w:r>
        <w:rPr>
          <w:rFonts w:ascii="Times New Roman" w:cs="Times New Roman" w:eastAsia="Times New Roman" w:hAnsi="Times New Roman"/>
          <w:sz w:val="19"/>
          <w:szCs w:val="19"/>
          <w:color w:val="3F3F3F"/>
        </w:rPr>
        <w:t xml:space="preserve"> (such excise tax, together with any such interest and penalties, are hereinafter collectively referred to as the "Excise Tax"), then the Executive shall </w:t>
      </w:r>
      <w:r>
        <w:rPr>
          <w:rFonts w:ascii="Times New Roman" w:cs="Times New Roman" w:eastAsia="Times New Roman" w:hAnsi="Times New Roman"/>
          <w:sz w:val="19"/>
          <w:szCs w:val="19"/>
          <w:color w:val="2B2B2B"/>
        </w:rPr>
        <w:t>be</w:t>
      </w:r>
      <w:r>
        <w:rPr>
          <w:rFonts w:ascii="Times New Roman" w:cs="Times New Roman" w:eastAsia="Times New Roman" w:hAnsi="Times New Roman"/>
          <w:sz w:val="19"/>
          <w:szCs w:val="19"/>
          <w:color w:val="3F3F3F"/>
        </w:rPr>
        <w:t xml:space="preserve"> entitled to receive an additional payment (a "Gross-Up Payment") </w:t>
      </w:r>
      <w:r>
        <w:rPr>
          <w:rFonts w:ascii="Times New Roman" w:cs="Times New Roman" w:eastAsia="Times New Roman" w:hAnsi="Times New Roman"/>
          <w:sz w:val="19"/>
          <w:szCs w:val="19"/>
          <w:color w:val="2B2B2B"/>
        </w:rPr>
        <w:t>in</w:t>
      </w:r>
      <w:r>
        <w:rPr>
          <w:rFonts w:ascii="Times New Roman" w:cs="Times New Roman" w:eastAsia="Times New Roman" w:hAnsi="Times New Roman"/>
          <w:sz w:val="19"/>
          <w:szCs w:val="19"/>
          <w:color w:val="3F3F3F"/>
        </w:rPr>
        <w:t xml:space="preserve"> an amount such that after payment by the Executive of all </w:t>
      </w:r>
      <w:r>
        <w:rPr>
          <w:rFonts w:ascii="Times New Roman" w:cs="Times New Roman" w:eastAsia="Times New Roman" w:hAnsi="Times New Roman"/>
          <w:sz w:val="19"/>
          <w:szCs w:val="19"/>
          <w:color w:val="2B2B2B"/>
        </w:rPr>
        <w:t>taxes</w:t>
      </w:r>
      <w:r>
        <w:rPr>
          <w:rFonts w:ascii="Times New Roman" w:cs="Times New Roman" w:eastAsia="Times New Roman" w:hAnsi="Times New Roman"/>
          <w:sz w:val="19"/>
          <w:szCs w:val="19"/>
          <w:color w:val="3F3F3F"/>
        </w:rPr>
        <w:t xml:space="preserve"> (</w:t>
      </w:r>
      <w:r>
        <w:rPr>
          <w:rFonts w:ascii="Times New Roman" w:cs="Times New Roman" w:eastAsia="Times New Roman" w:hAnsi="Times New Roman"/>
          <w:sz w:val="19"/>
          <w:szCs w:val="19"/>
          <w:color w:val="5D5D5D"/>
        </w:rPr>
        <w:t>i</w:t>
      </w:r>
      <w:r>
        <w:rPr>
          <w:rFonts w:ascii="Times New Roman" w:cs="Times New Roman" w:eastAsia="Times New Roman" w:hAnsi="Times New Roman"/>
          <w:sz w:val="19"/>
          <w:szCs w:val="19"/>
          <w:color w:val="3F3F3F"/>
        </w:rPr>
        <w:t>ncluding any interest or penalties imposed with respect to such taxes), including</w:t>
      </w:r>
      <w:r>
        <w:rPr>
          <w:rFonts w:ascii="Times New Roman" w:cs="Times New Roman" w:eastAsia="Times New Roman" w:hAnsi="Times New Roman"/>
          <w:sz w:val="19"/>
          <w:szCs w:val="19"/>
          <w:color w:val="5D5D5D"/>
        </w:rPr>
        <w:t>,</w:t>
      </w:r>
      <w:r>
        <w:rPr>
          <w:rFonts w:ascii="Times New Roman" w:cs="Times New Roman" w:eastAsia="Times New Roman" w:hAnsi="Times New Roman"/>
          <w:sz w:val="19"/>
          <w:szCs w:val="19"/>
          <w:color w:val="3F3F3F"/>
        </w:rPr>
        <w:t xml:space="preserve"> without limitation, any income taxes (and any interest and penalties imposed with </w:t>
      </w:r>
      <w:r>
        <w:rPr>
          <w:rFonts w:ascii="Times New Roman" w:cs="Times New Roman" w:eastAsia="Times New Roman" w:hAnsi="Times New Roman"/>
          <w:sz w:val="19"/>
          <w:szCs w:val="19"/>
          <w:color w:val="2B2B2B"/>
        </w:rPr>
        <w:t>respect</w:t>
      </w:r>
      <w:r>
        <w:rPr>
          <w:rFonts w:ascii="Times New Roman" w:cs="Times New Roman" w:eastAsia="Times New Roman" w:hAnsi="Times New Roman"/>
          <w:sz w:val="19"/>
          <w:szCs w:val="19"/>
          <w:color w:val="3F3F3F"/>
        </w:rPr>
        <w:t xml:space="preserve"> thereto) and Excise Tax imposed </w:t>
      </w:r>
      <w:r>
        <w:rPr>
          <w:rFonts w:ascii="Times New Roman" w:cs="Times New Roman" w:eastAsia="Times New Roman" w:hAnsi="Times New Roman"/>
          <w:sz w:val="19"/>
          <w:szCs w:val="19"/>
          <w:color w:val="2B2B2B"/>
        </w:rPr>
        <w:t>upon</w:t>
      </w:r>
      <w:r>
        <w:rPr>
          <w:rFonts w:ascii="Times New Roman" w:cs="Times New Roman" w:eastAsia="Times New Roman" w:hAnsi="Times New Roman"/>
          <w:sz w:val="19"/>
          <w:szCs w:val="19"/>
          <w:color w:val="3F3F3F"/>
        </w:rPr>
        <w:t xml:space="preserve"> the Gross-Up Payment</w:t>
      </w:r>
      <w:r>
        <w:rPr>
          <w:rFonts w:ascii="Times New Roman" w:cs="Times New Roman" w:eastAsia="Times New Roman" w:hAnsi="Times New Roman"/>
          <w:sz w:val="19"/>
          <w:szCs w:val="19"/>
          <w:color w:val="707070"/>
        </w:rPr>
        <w:t>,</w:t>
      </w:r>
      <w:r>
        <w:rPr>
          <w:rFonts w:ascii="Times New Roman" w:cs="Times New Roman" w:eastAsia="Times New Roman" w:hAnsi="Times New Roman"/>
          <w:sz w:val="19"/>
          <w:szCs w:val="19"/>
          <w:color w:val="3F3F3F"/>
        </w:rPr>
        <w:t xml:space="preserve"> the Executive retains an amount of the</w:t>
      </w:r>
    </w:p>
    <w:p>
      <w:pPr>
        <w:sectPr>
          <w:pgSz w:w="11900" w:h="16838" w:orient="portrait"/>
          <w:cols w:equalWidth="0" w:num="1">
            <w:col w:w="11290"/>
          </w:cols>
          <w:pgMar w:left="370" w:top="441" w:right="239" w:bottom="1440" w:gutter="0" w:footer="0" w:header="0"/>
        </w:sectPr>
      </w:pPr>
    </w:p>
    <w:bookmarkStart w:id="125" w:name="page126"/>
    <w:bookmarkEnd w:id="125"/>
    <w:p>
      <w:pPr>
        <w:ind w:left="20" w:right="600"/>
        <w:spacing w:after="0" w:line="297" w:lineRule="auto"/>
        <w:rPr>
          <w:sz w:val="20"/>
          <w:szCs w:val="20"/>
          <w:color w:val="auto"/>
        </w:rPr>
      </w:pPr>
      <w:r>
        <w:rPr>
          <w:rFonts w:ascii="Times New Roman" w:cs="Times New Roman" w:eastAsia="Times New Roman" w:hAnsi="Times New Roman"/>
          <w:sz w:val="20"/>
          <w:szCs w:val="20"/>
          <w:color w:val="383838"/>
        </w:rPr>
        <w:t xml:space="preserve">Gross-Up Payment equal to the Excise Tax imposed upon the Change in Control Payments. The Company shall pay all such Gross-Up </w:t>
      </w:r>
      <w:r>
        <w:rPr>
          <w:rFonts w:ascii="Times New Roman" w:cs="Times New Roman" w:eastAsia="Times New Roman" w:hAnsi="Times New Roman"/>
          <w:sz w:val="20"/>
          <w:szCs w:val="20"/>
          <w:color w:val="494949"/>
        </w:rPr>
        <w:t xml:space="preserve">Payments </w:t>
      </w:r>
      <w:r>
        <w:rPr>
          <w:rFonts w:ascii="Times New Roman" w:cs="Times New Roman" w:eastAsia="Times New Roman" w:hAnsi="Times New Roman"/>
          <w:sz w:val="20"/>
          <w:szCs w:val="20"/>
          <w:color w:val="383838"/>
        </w:rPr>
        <w:t>before such excise taxes are required to be remitted.</w:t>
      </w:r>
    </w:p>
    <w:p>
      <w:pPr>
        <w:spacing w:after="0" w:line="187" w:lineRule="exact"/>
        <w:rPr>
          <w:sz w:val="20"/>
          <w:szCs w:val="20"/>
          <w:color w:val="auto"/>
        </w:rPr>
      </w:pPr>
    </w:p>
    <w:p>
      <w:pPr>
        <w:ind w:left="1300" w:hanging="629"/>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494949"/>
        </w:rPr>
        <w:t xml:space="preserve">CONDITIONS APPLICABLE </w:t>
      </w:r>
      <w:r>
        <w:rPr>
          <w:rFonts w:ascii="Times New Roman" w:cs="Times New Roman" w:eastAsia="Times New Roman" w:hAnsi="Times New Roman"/>
          <w:sz w:val="20"/>
          <w:szCs w:val="20"/>
          <w:color w:val="383838"/>
        </w:rPr>
        <w:t>TO SEVERANCE</w:t>
      </w:r>
      <w:r>
        <w:rPr>
          <w:rFonts w:ascii="Times New Roman" w:cs="Times New Roman" w:eastAsia="Times New Roman" w:hAnsi="Times New Roman"/>
          <w:sz w:val="20"/>
          <w:szCs w:val="20"/>
          <w:color w:val="494949"/>
        </w:rPr>
        <w:t xml:space="preserve"> PERIOD; </w:t>
      </w:r>
      <w:r>
        <w:rPr>
          <w:rFonts w:ascii="Times New Roman" w:cs="Times New Roman" w:eastAsia="Times New Roman" w:hAnsi="Times New Roman"/>
          <w:sz w:val="20"/>
          <w:szCs w:val="20"/>
          <w:color w:val="383838"/>
        </w:rPr>
        <w:t>MITIGATION OF</w:t>
      </w:r>
      <w:r>
        <w:rPr>
          <w:rFonts w:ascii="Times New Roman" w:cs="Times New Roman" w:eastAsia="Times New Roman" w:hAnsi="Times New Roman"/>
          <w:sz w:val="20"/>
          <w:szCs w:val="20"/>
          <w:color w:val="494949"/>
        </w:rPr>
        <w:t xml:space="preserve"> DAMAGES</w:t>
      </w:r>
    </w:p>
    <w:p>
      <w:pPr>
        <w:spacing w:after="0" w:line="269" w:lineRule="exact"/>
        <w:rPr>
          <w:rFonts w:ascii="Times New Roman" w:cs="Times New Roman" w:eastAsia="Times New Roman" w:hAnsi="Times New Roman"/>
          <w:sz w:val="20"/>
          <w:szCs w:val="20"/>
          <w:color w:val="auto"/>
        </w:rPr>
      </w:pPr>
    </w:p>
    <w:p>
      <w:pPr>
        <w:jc w:val="both"/>
        <w:ind w:left="20" w:right="140" w:firstLine="1300"/>
        <w:spacing w:after="0" w:line="282" w:lineRule="auto"/>
        <w:tabs>
          <w:tab w:leader="none" w:pos="171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494949"/>
        </w:rPr>
        <w:t xml:space="preserve">If </w:t>
      </w:r>
      <w:r>
        <w:rPr>
          <w:rFonts w:ascii="Times New Roman" w:cs="Times New Roman" w:eastAsia="Times New Roman" w:hAnsi="Times New Roman"/>
          <w:sz w:val="20"/>
          <w:szCs w:val="20"/>
          <w:color w:val="383838"/>
        </w:rPr>
        <w:t>during the</w:t>
      </w:r>
      <w:r>
        <w:rPr>
          <w:rFonts w:ascii="Times New Roman" w:cs="Times New Roman" w:eastAsia="Times New Roman" w:hAnsi="Times New Roman"/>
          <w:sz w:val="20"/>
          <w:szCs w:val="20"/>
          <w:color w:val="494949"/>
        </w:rPr>
        <w:t xml:space="preserve"> Severance </w:t>
      </w:r>
      <w:r>
        <w:rPr>
          <w:rFonts w:ascii="Times New Roman" w:cs="Times New Roman" w:eastAsia="Times New Roman" w:hAnsi="Times New Roman"/>
          <w:sz w:val="20"/>
          <w:szCs w:val="20"/>
          <w:color w:val="383838"/>
        </w:rPr>
        <w:t>Period, the</w:t>
      </w:r>
      <w:r>
        <w:rPr>
          <w:rFonts w:ascii="Times New Roman" w:cs="Times New Roman" w:eastAsia="Times New Roman" w:hAnsi="Times New Roman"/>
          <w:sz w:val="20"/>
          <w:szCs w:val="20"/>
          <w:color w:val="494949"/>
        </w:rPr>
        <w:t xml:space="preserve"> Executive </w:t>
      </w:r>
      <w:r>
        <w:rPr>
          <w:rFonts w:ascii="Times New Roman" w:cs="Times New Roman" w:eastAsia="Times New Roman" w:hAnsi="Times New Roman"/>
          <w:sz w:val="20"/>
          <w:szCs w:val="20"/>
          <w:color w:val="383838"/>
        </w:rPr>
        <w:t>breaches his obligations under</w:t>
      </w:r>
      <w:r>
        <w:rPr>
          <w:rFonts w:ascii="Times New Roman" w:cs="Times New Roman" w:eastAsia="Times New Roman" w:hAnsi="Times New Roman"/>
          <w:sz w:val="20"/>
          <w:szCs w:val="20"/>
          <w:color w:val="494949"/>
        </w:rPr>
        <w:t xml:space="preserve"> Section </w:t>
      </w:r>
      <w:r>
        <w:rPr>
          <w:rFonts w:ascii="Times New Roman" w:cs="Times New Roman" w:eastAsia="Times New Roman" w:hAnsi="Times New Roman"/>
          <w:sz w:val="20"/>
          <w:szCs w:val="20"/>
          <w:color w:val="383838"/>
        </w:rPr>
        <w:t>4 above</w:t>
      </w:r>
      <w:r>
        <w:rPr>
          <w:rFonts w:ascii="Times New Roman" w:cs="Times New Roman" w:eastAsia="Times New Roman" w:hAnsi="Times New Roman"/>
          <w:sz w:val="20"/>
          <w:szCs w:val="20"/>
          <w:color w:val="6E6E6E"/>
        </w:rPr>
        <w:t>,</w:t>
      </w:r>
      <w:r>
        <w:rPr>
          <w:rFonts w:ascii="Times New Roman" w:cs="Times New Roman" w:eastAsia="Times New Roman" w:hAnsi="Times New Roman"/>
          <w:sz w:val="20"/>
          <w:szCs w:val="20"/>
          <w:color w:val="494949"/>
        </w:rPr>
        <w:t xml:space="preserve"> </w:t>
      </w:r>
      <w:r>
        <w:rPr>
          <w:rFonts w:ascii="Times New Roman" w:cs="Times New Roman" w:eastAsia="Times New Roman" w:hAnsi="Times New Roman"/>
          <w:sz w:val="20"/>
          <w:szCs w:val="20"/>
          <w:color w:val="383838"/>
        </w:rPr>
        <w:t>the</w:t>
      </w:r>
      <w:r>
        <w:rPr>
          <w:rFonts w:ascii="Times New Roman" w:cs="Times New Roman" w:eastAsia="Times New Roman" w:hAnsi="Times New Roman"/>
          <w:sz w:val="20"/>
          <w:szCs w:val="20"/>
          <w:color w:val="494949"/>
        </w:rPr>
        <w:t xml:space="preserve"> Company </w:t>
      </w:r>
      <w:r>
        <w:rPr>
          <w:rFonts w:ascii="Times New Roman" w:cs="Times New Roman" w:eastAsia="Times New Roman" w:hAnsi="Times New Roman"/>
          <w:sz w:val="20"/>
          <w:szCs w:val="20"/>
          <w:color w:val="383838"/>
        </w:rPr>
        <w:t>may,</w:t>
      </w:r>
      <w:r>
        <w:rPr>
          <w:rFonts w:ascii="Times New Roman" w:cs="Times New Roman" w:eastAsia="Times New Roman" w:hAnsi="Times New Roman"/>
          <w:sz w:val="20"/>
          <w:szCs w:val="20"/>
          <w:color w:val="494949"/>
        </w:rPr>
        <w:t xml:space="preserve"> upon </w:t>
      </w:r>
      <w:r>
        <w:rPr>
          <w:rFonts w:ascii="Times New Roman" w:cs="Times New Roman" w:eastAsia="Times New Roman" w:hAnsi="Times New Roman"/>
          <w:sz w:val="20"/>
          <w:szCs w:val="20"/>
          <w:color w:val="383838"/>
        </w:rPr>
        <w:t xml:space="preserve">written notice to the Executive, terminate the Severance </w:t>
      </w:r>
      <w:r>
        <w:rPr>
          <w:rFonts w:ascii="Times New Roman" w:cs="Times New Roman" w:eastAsia="Times New Roman" w:hAnsi="Times New Roman"/>
          <w:sz w:val="20"/>
          <w:szCs w:val="20"/>
          <w:color w:val="494949"/>
        </w:rPr>
        <w:t>Period</w:t>
      </w:r>
      <w:r>
        <w:rPr>
          <w:rFonts w:ascii="Times New Roman" w:cs="Times New Roman" w:eastAsia="Times New Roman" w:hAnsi="Times New Roman"/>
          <w:sz w:val="20"/>
          <w:szCs w:val="20"/>
          <w:color w:val="383838"/>
        </w:rPr>
        <w:t xml:space="preserve"> and cease </w:t>
      </w:r>
      <w:r>
        <w:rPr>
          <w:rFonts w:ascii="Times New Roman" w:cs="Times New Roman" w:eastAsia="Times New Roman" w:hAnsi="Times New Roman"/>
          <w:sz w:val="20"/>
          <w:szCs w:val="20"/>
          <w:color w:val="494949"/>
        </w:rPr>
        <w:t>to</w:t>
      </w:r>
      <w:r>
        <w:rPr>
          <w:rFonts w:ascii="Times New Roman" w:cs="Times New Roman" w:eastAsia="Times New Roman" w:hAnsi="Times New Roman"/>
          <w:sz w:val="20"/>
          <w:szCs w:val="20"/>
          <w:color w:val="383838"/>
        </w:rPr>
        <w:t xml:space="preserve"> make any further payments </w:t>
      </w:r>
      <w:r>
        <w:rPr>
          <w:rFonts w:ascii="Times New Roman" w:cs="Times New Roman" w:eastAsia="Times New Roman" w:hAnsi="Times New Roman"/>
          <w:sz w:val="20"/>
          <w:szCs w:val="20"/>
          <w:color w:val="494949"/>
        </w:rPr>
        <w:t>or provide</w:t>
      </w:r>
      <w:r>
        <w:rPr>
          <w:rFonts w:ascii="Times New Roman" w:cs="Times New Roman" w:eastAsia="Times New Roman" w:hAnsi="Times New Roman"/>
          <w:sz w:val="20"/>
          <w:szCs w:val="20"/>
          <w:color w:val="383838"/>
        </w:rPr>
        <w:t xml:space="preserve"> any benefits described in Subsection 5(f).</w:t>
      </w:r>
    </w:p>
    <w:p>
      <w:pPr>
        <w:spacing w:after="0" w:line="188" w:lineRule="exact"/>
        <w:rPr>
          <w:rFonts w:ascii="Times New Roman" w:cs="Times New Roman" w:eastAsia="Times New Roman" w:hAnsi="Times New Roman"/>
          <w:sz w:val="20"/>
          <w:szCs w:val="20"/>
          <w:color w:val="auto"/>
        </w:rPr>
      </w:pPr>
    </w:p>
    <w:p>
      <w:pPr>
        <w:ind w:left="20" w:firstLine="1300"/>
        <w:spacing w:after="0" w:line="277" w:lineRule="auto"/>
        <w:tabs>
          <w:tab w:leader="none" w:pos="172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83838"/>
        </w:rPr>
        <w:t xml:space="preserve">Although the </w:t>
      </w:r>
      <w:r>
        <w:rPr>
          <w:rFonts w:ascii="Times New Roman" w:cs="Times New Roman" w:eastAsia="Times New Roman" w:hAnsi="Times New Roman"/>
          <w:sz w:val="20"/>
          <w:szCs w:val="20"/>
          <w:color w:val="494949"/>
        </w:rPr>
        <w:t>Executive</w:t>
      </w:r>
      <w:r>
        <w:rPr>
          <w:rFonts w:ascii="Times New Roman" w:cs="Times New Roman" w:eastAsia="Times New Roman" w:hAnsi="Times New Roman"/>
          <w:sz w:val="20"/>
          <w:szCs w:val="20"/>
          <w:color w:val="383838"/>
        </w:rPr>
        <w:t xml:space="preserve"> shall not be required to mitigate the amount of any </w:t>
      </w:r>
      <w:r>
        <w:rPr>
          <w:rFonts w:ascii="Times New Roman" w:cs="Times New Roman" w:eastAsia="Times New Roman" w:hAnsi="Times New Roman"/>
          <w:sz w:val="20"/>
          <w:szCs w:val="20"/>
          <w:color w:val="494949"/>
        </w:rPr>
        <w:t>payment</w:t>
      </w:r>
      <w:r>
        <w:rPr>
          <w:rFonts w:ascii="Times New Roman" w:cs="Times New Roman" w:eastAsia="Times New Roman" w:hAnsi="Times New Roman"/>
          <w:sz w:val="20"/>
          <w:szCs w:val="20"/>
          <w:color w:val="383838"/>
        </w:rPr>
        <w:t xml:space="preserve"> provided for in Subsection 5(f) by seeking other employment, except in the case of a Change in Control Termination, any such payments shall be reduced by any amounts which </w:t>
      </w:r>
      <w:r>
        <w:rPr>
          <w:rFonts w:ascii="Times New Roman" w:cs="Times New Roman" w:eastAsia="Times New Roman" w:hAnsi="Times New Roman"/>
          <w:sz w:val="20"/>
          <w:szCs w:val="20"/>
          <w:color w:val="232323"/>
        </w:rPr>
        <w:t>th</w:t>
      </w:r>
      <w:r>
        <w:rPr>
          <w:rFonts w:ascii="Times New Roman" w:cs="Times New Roman" w:eastAsia="Times New Roman" w:hAnsi="Times New Roman"/>
          <w:sz w:val="20"/>
          <w:szCs w:val="20"/>
          <w:color w:val="494949"/>
        </w:rPr>
        <w:t>e</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83838"/>
        </w:rPr>
        <w:t>Executive</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494949"/>
        </w:rPr>
        <w:t>rece</w:t>
      </w:r>
      <w:r>
        <w:rPr>
          <w:rFonts w:ascii="Times New Roman" w:cs="Times New Roman" w:eastAsia="Times New Roman" w:hAnsi="Times New Roman"/>
          <w:sz w:val="20"/>
          <w:szCs w:val="20"/>
          <w:color w:val="232323"/>
        </w:rPr>
        <w:t xml:space="preserve">ives </w:t>
      </w:r>
      <w:r>
        <w:rPr>
          <w:rFonts w:ascii="Times New Roman" w:cs="Times New Roman" w:eastAsia="Times New Roman" w:hAnsi="Times New Roman"/>
          <w:sz w:val="20"/>
          <w:szCs w:val="20"/>
          <w:color w:val="383838"/>
        </w:rPr>
        <w:t>or</w:t>
      </w:r>
      <w:r>
        <w:rPr>
          <w:rFonts w:ascii="Times New Roman" w:cs="Times New Roman" w:eastAsia="Times New Roman" w:hAnsi="Times New Roman"/>
          <w:sz w:val="20"/>
          <w:szCs w:val="20"/>
          <w:color w:val="232323"/>
        </w:rPr>
        <w:t xml:space="preserve"> is </w:t>
      </w:r>
      <w:r>
        <w:rPr>
          <w:rFonts w:ascii="Times New Roman" w:cs="Times New Roman" w:eastAsia="Times New Roman" w:hAnsi="Times New Roman"/>
          <w:sz w:val="20"/>
          <w:szCs w:val="20"/>
          <w:color w:val="383838"/>
        </w:rPr>
        <w:t>entitled to</w:t>
      </w:r>
      <w:r>
        <w:rPr>
          <w:rFonts w:ascii="Times New Roman" w:cs="Times New Roman" w:eastAsia="Times New Roman" w:hAnsi="Times New Roman"/>
          <w:sz w:val="20"/>
          <w:szCs w:val="20"/>
          <w:color w:val="232323"/>
        </w:rPr>
        <w:t xml:space="preserve"> receive </w:t>
      </w:r>
      <w:r>
        <w:rPr>
          <w:rFonts w:ascii="Times New Roman" w:cs="Times New Roman" w:eastAsia="Times New Roman" w:hAnsi="Times New Roman"/>
          <w:sz w:val="20"/>
          <w:szCs w:val="20"/>
          <w:color w:val="383838"/>
        </w:rPr>
        <w:t>from another employer with respect to</w:t>
      </w:r>
      <w:r>
        <w:rPr>
          <w:rFonts w:ascii="Times New Roman" w:cs="Times New Roman" w:eastAsia="Times New Roman" w:hAnsi="Times New Roman"/>
          <w:sz w:val="20"/>
          <w:szCs w:val="20"/>
          <w:color w:val="232323"/>
        </w:rPr>
        <w:t xml:space="preserve"> th</w:t>
      </w:r>
      <w:r>
        <w:rPr>
          <w:rFonts w:ascii="Times New Roman" w:cs="Times New Roman" w:eastAsia="Times New Roman" w:hAnsi="Times New Roman"/>
          <w:sz w:val="20"/>
          <w:szCs w:val="20"/>
          <w:color w:val="494949"/>
        </w:rPr>
        <w:t>e Severance</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83838"/>
        </w:rPr>
        <w:t>Period. The Executive shall promptly</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83838"/>
        </w:rPr>
        <w:t xml:space="preserve">notify the Company in writing in the event that other </w:t>
      </w:r>
      <w:r>
        <w:rPr>
          <w:rFonts w:ascii="Times New Roman" w:cs="Times New Roman" w:eastAsia="Times New Roman" w:hAnsi="Times New Roman"/>
          <w:sz w:val="20"/>
          <w:szCs w:val="20"/>
          <w:color w:val="494949"/>
        </w:rPr>
        <w:t>employment</w:t>
      </w:r>
      <w:r>
        <w:rPr>
          <w:rFonts w:ascii="Times New Roman" w:cs="Times New Roman" w:eastAsia="Times New Roman" w:hAnsi="Times New Roman"/>
          <w:sz w:val="20"/>
          <w:szCs w:val="20"/>
          <w:color w:val="383838"/>
        </w:rPr>
        <w:t xml:space="preserve"> is obtained during </w:t>
      </w:r>
      <w:r>
        <w:rPr>
          <w:rFonts w:ascii="Times New Roman" w:cs="Times New Roman" w:eastAsia="Times New Roman" w:hAnsi="Times New Roman"/>
          <w:sz w:val="20"/>
          <w:szCs w:val="20"/>
          <w:color w:val="494949"/>
        </w:rPr>
        <w:t>the</w:t>
      </w:r>
      <w:r>
        <w:rPr>
          <w:rFonts w:ascii="Times New Roman" w:cs="Times New Roman" w:eastAsia="Times New Roman" w:hAnsi="Times New Roman"/>
          <w:sz w:val="20"/>
          <w:szCs w:val="20"/>
          <w:color w:val="383838"/>
        </w:rPr>
        <w:t xml:space="preserve"> Severance </w:t>
      </w:r>
      <w:r>
        <w:rPr>
          <w:rFonts w:ascii="Times New Roman" w:cs="Times New Roman" w:eastAsia="Times New Roman" w:hAnsi="Times New Roman"/>
          <w:sz w:val="20"/>
          <w:szCs w:val="20"/>
          <w:color w:val="494949"/>
        </w:rPr>
        <w:t>Period.</w:t>
      </w:r>
    </w:p>
    <w:p>
      <w:pPr>
        <w:spacing w:after="0" w:line="200" w:lineRule="exact"/>
        <w:rPr>
          <w:rFonts w:ascii="Times New Roman" w:cs="Times New Roman" w:eastAsia="Times New Roman" w:hAnsi="Times New Roman"/>
          <w:sz w:val="20"/>
          <w:szCs w:val="20"/>
          <w:color w:val="auto"/>
        </w:rPr>
      </w:pPr>
    </w:p>
    <w:p>
      <w:pPr>
        <w:spacing w:after="0" w:line="237" w:lineRule="exact"/>
        <w:rPr>
          <w:rFonts w:ascii="Times New Roman" w:cs="Times New Roman" w:eastAsia="Times New Roman" w:hAnsi="Times New Roman"/>
          <w:sz w:val="20"/>
          <w:szCs w:val="20"/>
          <w:color w:val="auto"/>
        </w:rPr>
      </w:pPr>
    </w:p>
    <w:p>
      <w:pPr>
        <w:ind w:left="20" w:right="100" w:firstLine="651"/>
        <w:spacing w:after="0" w:line="310" w:lineRule="auto"/>
        <w:tabs>
          <w:tab w:leader="none" w:pos="143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83838"/>
        </w:rPr>
        <w:t xml:space="preserve">NOTICES. For the </w:t>
      </w:r>
      <w:r>
        <w:rPr>
          <w:rFonts w:ascii="Times New Roman" w:cs="Times New Roman" w:eastAsia="Times New Roman" w:hAnsi="Times New Roman"/>
          <w:sz w:val="20"/>
          <w:szCs w:val="20"/>
          <w:color w:val="232323"/>
        </w:rPr>
        <w:t>purpose</w:t>
      </w:r>
      <w:r>
        <w:rPr>
          <w:rFonts w:ascii="Times New Roman" w:cs="Times New Roman" w:eastAsia="Times New Roman" w:hAnsi="Times New Roman"/>
          <w:sz w:val="20"/>
          <w:szCs w:val="20"/>
          <w:color w:val="383838"/>
        </w:rPr>
        <w:t xml:space="preserve"> of </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494949"/>
        </w:rPr>
        <w:t>his</w:t>
      </w:r>
      <w:r>
        <w:rPr>
          <w:rFonts w:ascii="Times New Roman" w:cs="Times New Roman" w:eastAsia="Times New Roman" w:hAnsi="Times New Roman"/>
          <w:sz w:val="20"/>
          <w:szCs w:val="20"/>
          <w:color w:val="383838"/>
        </w:rPr>
        <w:t xml:space="preserve"> Agreement, </w:t>
      </w:r>
      <w:r>
        <w:rPr>
          <w:rFonts w:ascii="Times New Roman" w:cs="Times New Roman" w:eastAsia="Times New Roman" w:hAnsi="Times New Roman"/>
          <w:sz w:val="20"/>
          <w:szCs w:val="20"/>
          <w:color w:val="232323"/>
        </w:rPr>
        <w:t>not</w:t>
      </w:r>
      <w:r>
        <w:rPr>
          <w:rFonts w:ascii="Times New Roman" w:cs="Times New Roman" w:eastAsia="Times New Roman" w:hAnsi="Times New Roman"/>
          <w:sz w:val="20"/>
          <w:szCs w:val="20"/>
          <w:color w:val="494949"/>
        </w:rPr>
        <w:t>ices</w:t>
      </w:r>
      <w:r>
        <w:rPr>
          <w:rFonts w:ascii="Times New Roman" w:cs="Times New Roman" w:eastAsia="Times New Roman" w:hAnsi="Times New Roman"/>
          <w:sz w:val="20"/>
          <w:szCs w:val="20"/>
          <w:color w:val="383838"/>
        </w:rPr>
        <w:t xml:space="preserve"> and all other communications to either party hereunder provided for </w:t>
      </w:r>
      <w:r>
        <w:rPr>
          <w:rFonts w:ascii="Times New Roman" w:cs="Times New Roman" w:eastAsia="Times New Roman" w:hAnsi="Times New Roman"/>
          <w:sz w:val="20"/>
          <w:szCs w:val="20"/>
          <w:color w:val="232323"/>
        </w:rPr>
        <w:t xml:space="preserve">in </w:t>
      </w:r>
      <w:r>
        <w:rPr>
          <w:rFonts w:ascii="Times New Roman" w:cs="Times New Roman" w:eastAsia="Times New Roman" w:hAnsi="Times New Roman"/>
          <w:sz w:val="20"/>
          <w:szCs w:val="20"/>
          <w:color w:val="494949"/>
        </w:rPr>
        <w:t>the Agreement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83838"/>
        </w:rPr>
        <w:t>shall be</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494949"/>
        </w:rPr>
        <w:t>i</w:t>
      </w:r>
      <w:r>
        <w:rPr>
          <w:rFonts w:ascii="Times New Roman" w:cs="Times New Roman" w:eastAsia="Times New Roman" w:hAnsi="Times New Roman"/>
          <w:sz w:val="20"/>
          <w:szCs w:val="20"/>
          <w:color w:val="232323"/>
        </w:rPr>
        <w:t xml:space="preserve">n </w:t>
      </w:r>
      <w:r>
        <w:rPr>
          <w:rFonts w:ascii="Times New Roman" w:cs="Times New Roman" w:eastAsia="Times New Roman" w:hAnsi="Times New Roman"/>
          <w:sz w:val="20"/>
          <w:szCs w:val="20"/>
          <w:color w:val="383838"/>
        </w:rPr>
        <w:t>writing and shall be deemed to</w:t>
      </w:r>
      <w:r>
        <w:rPr>
          <w:rFonts w:ascii="Times New Roman" w:cs="Times New Roman" w:eastAsia="Times New Roman" w:hAnsi="Times New Roman"/>
          <w:sz w:val="20"/>
          <w:szCs w:val="20"/>
          <w:color w:val="232323"/>
        </w:rPr>
        <w:t xml:space="preserve"> hav</w:t>
      </w:r>
      <w:r>
        <w:rPr>
          <w:rFonts w:ascii="Times New Roman" w:cs="Times New Roman" w:eastAsia="Times New Roman" w:hAnsi="Times New Roman"/>
          <w:sz w:val="20"/>
          <w:szCs w:val="20"/>
          <w:color w:val="494949"/>
        </w:rPr>
        <w:t>e</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83838"/>
        </w:rPr>
        <w:t>been duly given when delivered in person or mailed by certified first class</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83838"/>
        </w:rPr>
        <w:t>mail, postage prepaid, addressed:</w:t>
      </w:r>
    </w:p>
    <w:p>
      <w:pPr>
        <w:spacing w:after="0" w:line="32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in the case of the Company to:</w:t>
      </w:r>
    </w:p>
    <w:p>
      <w:pPr>
        <w:spacing w:after="0" w:line="37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4205 River Green Parkway</w:t>
      </w:r>
    </w:p>
    <w:p>
      <w:pPr>
        <w:spacing w:after="0" w:line="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Duluth, Georgia 30096</w:t>
      </w:r>
    </w:p>
    <w:p>
      <w:pPr>
        <w:spacing w:after="0" w:line="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Attention: Lucinda Smith</w:t>
      </w:r>
    </w:p>
    <w:p>
      <w:pPr>
        <w:spacing w:after="0" w:line="37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in the case of the Company to:</w:t>
      </w:r>
    </w:p>
    <w:p>
      <w:pPr>
        <w:spacing w:after="0" w:line="37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Eric Hansotia</w:t>
      </w:r>
    </w:p>
    <w:p>
      <w:pPr>
        <w:spacing w:after="0" w:line="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102 Forest Road</w:t>
      </w:r>
    </w:p>
    <w:p>
      <w:pPr>
        <w:spacing w:after="0" w:line="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Davenport, IA 52803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94949"/>
        </w:rPr>
        <w:t xml:space="preserve">or to </w:t>
      </w:r>
      <w:r>
        <w:rPr>
          <w:rFonts w:ascii="Times New Roman" w:cs="Times New Roman" w:eastAsia="Times New Roman" w:hAnsi="Times New Roman"/>
          <w:sz w:val="20"/>
          <w:szCs w:val="20"/>
          <w:color w:val="383838"/>
        </w:rPr>
        <w:t>such</w:t>
      </w:r>
      <w:r>
        <w:rPr>
          <w:rFonts w:ascii="Times New Roman" w:cs="Times New Roman" w:eastAsia="Times New Roman" w:hAnsi="Times New Roman"/>
          <w:sz w:val="20"/>
          <w:szCs w:val="20"/>
          <w:color w:val="494949"/>
        </w:rPr>
        <w:t xml:space="preserve"> other </w:t>
      </w:r>
      <w:r>
        <w:rPr>
          <w:rFonts w:ascii="Times New Roman" w:cs="Times New Roman" w:eastAsia="Times New Roman" w:hAnsi="Times New Roman"/>
          <w:sz w:val="20"/>
          <w:szCs w:val="20"/>
          <w:color w:val="383838"/>
        </w:rPr>
        <w:t>address</w:t>
      </w:r>
      <w:r>
        <w:rPr>
          <w:rFonts w:ascii="Times New Roman" w:cs="Times New Roman" w:eastAsia="Times New Roman" w:hAnsi="Times New Roman"/>
          <w:sz w:val="20"/>
          <w:szCs w:val="20"/>
          <w:color w:val="494949"/>
        </w:rPr>
        <w:t xml:space="preserve"> as either party </w:t>
      </w:r>
      <w:r>
        <w:rPr>
          <w:rFonts w:ascii="Times New Roman" w:cs="Times New Roman" w:eastAsia="Times New Roman" w:hAnsi="Times New Roman"/>
          <w:sz w:val="20"/>
          <w:szCs w:val="20"/>
          <w:color w:val="383838"/>
        </w:rPr>
        <w:t>shall</w:t>
      </w:r>
      <w:r>
        <w:rPr>
          <w:rFonts w:ascii="Times New Roman" w:cs="Times New Roman" w:eastAsia="Times New Roman" w:hAnsi="Times New Roman"/>
          <w:sz w:val="20"/>
          <w:szCs w:val="20"/>
          <w:color w:val="494949"/>
        </w:rPr>
        <w:t xml:space="preserve"> designate </w:t>
      </w:r>
      <w:r>
        <w:rPr>
          <w:rFonts w:ascii="Times New Roman" w:cs="Times New Roman" w:eastAsia="Times New Roman" w:hAnsi="Times New Roman"/>
          <w:sz w:val="20"/>
          <w:szCs w:val="20"/>
          <w:color w:val="383838"/>
        </w:rPr>
        <w:t>by giving</w:t>
      </w:r>
      <w:r>
        <w:rPr>
          <w:rFonts w:ascii="Times New Roman" w:cs="Times New Roman" w:eastAsia="Times New Roman" w:hAnsi="Times New Roman"/>
          <w:sz w:val="20"/>
          <w:szCs w:val="20"/>
          <w:color w:val="494949"/>
        </w:rPr>
        <w:t xml:space="preserve"> written notice of </w:t>
      </w:r>
      <w:r>
        <w:rPr>
          <w:rFonts w:ascii="Times New Roman" w:cs="Times New Roman" w:eastAsia="Times New Roman" w:hAnsi="Times New Roman"/>
          <w:sz w:val="20"/>
          <w:szCs w:val="20"/>
          <w:color w:val="383838"/>
        </w:rPr>
        <w:t>such</w:t>
      </w:r>
      <w:r>
        <w:rPr>
          <w:rFonts w:ascii="Times New Roman" w:cs="Times New Roman" w:eastAsia="Times New Roman" w:hAnsi="Times New Roman"/>
          <w:sz w:val="20"/>
          <w:szCs w:val="20"/>
          <w:color w:val="494949"/>
        </w:rPr>
        <w:t xml:space="preserve"> change </w:t>
      </w:r>
      <w:r>
        <w:rPr>
          <w:rFonts w:ascii="Times New Roman" w:cs="Times New Roman" w:eastAsia="Times New Roman" w:hAnsi="Times New Roman"/>
          <w:sz w:val="20"/>
          <w:szCs w:val="20"/>
          <w:color w:val="383838"/>
        </w:rPr>
        <w:t>to the other</w:t>
      </w:r>
      <w:r>
        <w:rPr>
          <w:rFonts w:ascii="Times New Roman" w:cs="Times New Roman" w:eastAsia="Times New Roman" w:hAnsi="Times New Roman"/>
          <w:sz w:val="20"/>
          <w:szCs w:val="20"/>
          <w:color w:val="494949"/>
        </w:rPr>
        <w:t xml:space="preserve"> party.</w:t>
      </w:r>
    </w:p>
    <w:p>
      <w:pPr>
        <w:sectPr>
          <w:pgSz w:w="11900" w:h="16838" w:orient="portrait"/>
          <w:cols w:equalWidth="0" w:num="1">
            <w:col w:w="11280"/>
          </w:cols>
          <w:pgMar w:left="360" w:top="441" w:right="259" w:bottom="1440" w:gutter="0" w:footer="0" w:header="0"/>
        </w:sectPr>
      </w:pPr>
    </w:p>
    <w:bookmarkStart w:id="126" w:name="page127"/>
    <w:bookmarkEnd w:id="126"/>
    <w:p>
      <w:pPr>
        <w:ind w:left="-631" w:firstLine="658"/>
        <w:spacing w:after="0" w:line="297" w:lineRule="auto"/>
        <w:tabs>
          <w:tab w:leader="none" w:pos="82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444444"/>
        </w:rPr>
        <w:t xml:space="preserve">ARBITRATION. Any </w:t>
      </w:r>
      <w:r>
        <w:rPr>
          <w:rFonts w:ascii="Times New Roman" w:cs="Times New Roman" w:eastAsia="Times New Roman" w:hAnsi="Times New Roman"/>
          <w:sz w:val="20"/>
          <w:szCs w:val="20"/>
          <w:color w:val="363636"/>
        </w:rPr>
        <w:t>claim, controversy</w:t>
      </w:r>
      <w:r>
        <w:rPr>
          <w:rFonts w:ascii="Times New Roman" w:cs="Times New Roman" w:eastAsia="Times New Roman" w:hAnsi="Times New Roman"/>
          <w:sz w:val="20"/>
          <w:szCs w:val="20"/>
          <w:color w:val="595959"/>
        </w:rPr>
        <w:t>,</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color w:val="363636"/>
        </w:rPr>
        <w:t>or dispute arising between the</w:t>
      </w:r>
      <w:r>
        <w:rPr>
          <w:rFonts w:ascii="Times New Roman" w:cs="Times New Roman" w:eastAsia="Times New Roman" w:hAnsi="Times New Roman"/>
          <w:sz w:val="20"/>
          <w:szCs w:val="20"/>
          <w:color w:val="444444"/>
        </w:rPr>
        <w:t xml:space="preserve"> parties </w:t>
      </w:r>
      <w:r>
        <w:rPr>
          <w:rFonts w:ascii="Times New Roman" w:cs="Times New Roman" w:eastAsia="Times New Roman" w:hAnsi="Times New Roman"/>
          <w:sz w:val="20"/>
          <w:szCs w:val="20"/>
          <w:color w:val="363636"/>
        </w:rPr>
        <w:t>with respect</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color w:val="1F1F1F"/>
        </w:rPr>
        <w:t>to</w:t>
      </w:r>
      <w:r>
        <w:rPr>
          <w:rFonts w:ascii="Times New Roman" w:cs="Times New Roman" w:eastAsia="Times New Roman" w:hAnsi="Times New Roman"/>
          <w:sz w:val="20"/>
          <w:szCs w:val="20"/>
          <w:color w:val="444444"/>
        </w:rPr>
        <w:t xml:space="preserve"> this Agreement, </w:t>
      </w:r>
      <w:r>
        <w:rPr>
          <w:rFonts w:ascii="Times New Roman" w:cs="Times New Roman" w:eastAsia="Times New Roman" w:hAnsi="Times New Roman"/>
          <w:sz w:val="20"/>
          <w:szCs w:val="20"/>
          <w:color w:val="363636"/>
        </w:rPr>
        <w:t>to the</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color w:val="363636"/>
        </w:rPr>
        <w:t xml:space="preserve">maximum extent allowed by </w:t>
      </w:r>
      <w:r>
        <w:rPr>
          <w:rFonts w:ascii="Times New Roman" w:cs="Times New Roman" w:eastAsia="Times New Roman" w:hAnsi="Times New Roman"/>
          <w:sz w:val="20"/>
          <w:szCs w:val="20"/>
          <w:color w:val="444444"/>
        </w:rPr>
        <w:t>app</w:t>
      </w:r>
      <w:r>
        <w:rPr>
          <w:rFonts w:ascii="Times New Roman" w:cs="Times New Roman" w:eastAsia="Times New Roman" w:hAnsi="Times New Roman"/>
          <w:sz w:val="20"/>
          <w:szCs w:val="20"/>
          <w:color w:val="1F1F1F"/>
        </w:rPr>
        <w:t>li</w:t>
      </w:r>
      <w:r>
        <w:rPr>
          <w:rFonts w:ascii="Times New Roman" w:cs="Times New Roman" w:eastAsia="Times New Roman" w:hAnsi="Times New Roman"/>
          <w:sz w:val="20"/>
          <w:szCs w:val="20"/>
          <w:color w:val="444444"/>
        </w:rPr>
        <w:t>cable law,</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1F1F1F"/>
        </w:rPr>
        <w:t>shall</w:t>
      </w:r>
      <w:r>
        <w:rPr>
          <w:rFonts w:ascii="Times New Roman" w:cs="Times New Roman" w:eastAsia="Times New Roman" w:hAnsi="Times New Roman"/>
          <w:sz w:val="20"/>
          <w:szCs w:val="20"/>
          <w:color w:val="363636"/>
        </w:rPr>
        <w:t xml:space="preserve"> be submitted to and resolved by binding arbitration.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arbitrat</w:t>
      </w:r>
      <w:r>
        <w:rPr>
          <w:rFonts w:ascii="Times New Roman" w:cs="Times New Roman" w:eastAsia="Times New Roman" w:hAnsi="Times New Roman"/>
          <w:sz w:val="20"/>
          <w:szCs w:val="20"/>
          <w:color w:val="595959"/>
        </w:rPr>
        <w:t>i</w:t>
      </w:r>
      <w:r>
        <w:rPr>
          <w:rFonts w:ascii="Times New Roman" w:cs="Times New Roman" w:eastAsia="Times New Roman" w:hAnsi="Times New Roman"/>
          <w:sz w:val="20"/>
          <w:szCs w:val="20"/>
          <w:color w:val="363636"/>
        </w:rPr>
        <w:t xml:space="preserve">on shall be conducted pursuant to </w:t>
      </w:r>
      <w:r>
        <w:rPr>
          <w:rFonts w:ascii="Times New Roman" w:cs="Times New Roman" w:eastAsia="Times New Roman" w:hAnsi="Times New Roman"/>
          <w:sz w:val="20"/>
          <w:szCs w:val="20"/>
          <w:color w:val="444444"/>
        </w:rPr>
        <w:t>t</w:t>
      </w:r>
      <w:r>
        <w:rPr>
          <w:rFonts w:ascii="Times New Roman" w:cs="Times New Roman" w:eastAsia="Times New Roman" w:hAnsi="Times New Roman"/>
          <w:sz w:val="20"/>
          <w:szCs w:val="20"/>
          <w:color w:val="1F1F1F"/>
        </w:rPr>
        <w:t>he</w:t>
      </w:r>
      <w:r>
        <w:rPr>
          <w:rFonts w:ascii="Times New Roman" w:cs="Times New Roman" w:eastAsia="Times New Roman" w:hAnsi="Times New Roman"/>
          <w:sz w:val="20"/>
          <w:szCs w:val="20"/>
          <w:color w:val="363636"/>
        </w:rPr>
        <w:t xml:space="preserve"> terms of the </w:t>
      </w:r>
      <w:r>
        <w:rPr>
          <w:rFonts w:ascii="Times New Roman" w:cs="Times New Roman" w:eastAsia="Times New Roman" w:hAnsi="Times New Roman"/>
          <w:sz w:val="20"/>
          <w:szCs w:val="20"/>
          <w:color w:val="444444"/>
        </w:rPr>
        <w:t>Federa</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363636"/>
        </w:rPr>
        <w:t xml:space="preserve"> Arbitration Act and (except as otherwise specified herein) the Commercial </w:t>
      </w:r>
      <w:r>
        <w:rPr>
          <w:rFonts w:ascii="Times New Roman" w:cs="Times New Roman" w:eastAsia="Times New Roman" w:hAnsi="Times New Roman"/>
          <w:sz w:val="20"/>
          <w:szCs w:val="20"/>
          <w:color w:val="444444"/>
        </w:rPr>
        <w:t>Arbitration</w:t>
      </w:r>
      <w:r>
        <w:rPr>
          <w:rFonts w:ascii="Times New Roman" w:cs="Times New Roman" w:eastAsia="Times New Roman" w:hAnsi="Times New Roman"/>
          <w:sz w:val="20"/>
          <w:szCs w:val="20"/>
          <w:color w:val="363636"/>
        </w:rPr>
        <w:t xml:space="preserve"> Rules of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American </w:t>
      </w:r>
      <w:r>
        <w:rPr>
          <w:rFonts w:ascii="Times New Roman" w:cs="Times New Roman" w:eastAsia="Times New Roman" w:hAnsi="Times New Roman"/>
          <w:sz w:val="20"/>
          <w:szCs w:val="20"/>
          <w:color w:val="444444"/>
        </w:rPr>
        <w:t>Arbitration</w:t>
      </w:r>
      <w:r>
        <w:rPr>
          <w:rFonts w:ascii="Times New Roman" w:cs="Times New Roman" w:eastAsia="Times New Roman" w:hAnsi="Times New Roman"/>
          <w:sz w:val="20"/>
          <w:szCs w:val="20"/>
          <w:color w:val="363636"/>
        </w:rPr>
        <w:t xml:space="preserve"> Association </w:t>
      </w:r>
      <w:r>
        <w:rPr>
          <w:rFonts w:ascii="Times New Roman" w:cs="Times New Roman" w:eastAsia="Times New Roman" w:hAnsi="Times New Roman"/>
          <w:sz w:val="20"/>
          <w:szCs w:val="20"/>
          <w:b w:val="1"/>
          <w:bCs w:val="1"/>
          <w:color w:val="363636"/>
        </w:rPr>
        <w:t>in</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444444"/>
        </w:rPr>
        <w:t>effect</w:t>
      </w:r>
      <w:r>
        <w:rPr>
          <w:rFonts w:ascii="Times New Roman" w:cs="Times New Roman" w:eastAsia="Times New Roman" w:hAnsi="Times New Roman"/>
          <w:sz w:val="20"/>
          <w:szCs w:val="20"/>
          <w:color w:val="363636"/>
        </w:rPr>
        <w:t xml:space="preserve"> at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time the arbitration </w:t>
      </w:r>
      <w:r>
        <w:rPr>
          <w:rFonts w:ascii="Times New Roman" w:cs="Times New Roman" w:eastAsia="Times New Roman" w:hAnsi="Times New Roman"/>
          <w:sz w:val="20"/>
          <w:szCs w:val="20"/>
          <w:color w:val="444444"/>
        </w:rPr>
        <w:t>is commenced. The</w:t>
      </w:r>
      <w:r>
        <w:rPr>
          <w:rFonts w:ascii="Times New Roman" w:cs="Times New Roman" w:eastAsia="Times New Roman" w:hAnsi="Times New Roman"/>
          <w:sz w:val="20"/>
          <w:szCs w:val="20"/>
          <w:color w:val="363636"/>
        </w:rPr>
        <w:t xml:space="preserve"> venue for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arbitration shall be the </w:t>
      </w:r>
      <w:r>
        <w:rPr>
          <w:rFonts w:ascii="Times New Roman" w:cs="Times New Roman" w:eastAsia="Times New Roman" w:hAnsi="Times New Roman"/>
          <w:sz w:val="20"/>
          <w:szCs w:val="20"/>
          <w:color w:val="444444"/>
        </w:rPr>
        <w:t>Atlanta,</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444444"/>
        </w:rPr>
        <w:t>Geo</w:t>
      </w:r>
      <w:r>
        <w:rPr>
          <w:rFonts w:ascii="Times New Roman" w:cs="Times New Roman" w:eastAsia="Times New Roman" w:hAnsi="Times New Roman"/>
          <w:sz w:val="20"/>
          <w:szCs w:val="20"/>
          <w:color w:val="1F1F1F"/>
        </w:rPr>
        <w:t>rgia</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color w:val="363636"/>
        </w:rPr>
        <w:t>offices</w:t>
      </w:r>
      <w:r>
        <w:rPr>
          <w:rFonts w:ascii="Times New Roman" w:cs="Times New Roman" w:eastAsia="Times New Roman" w:hAnsi="Times New Roman"/>
          <w:sz w:val="20"/>
          <w:szCs w:val="20"/>
          <w:color w:val="444444"/>
        </w:rPr>
        <w:t xml:space="preserve"> of </w:t>
      </w:r>
      <w:r>
        <w:rPr>
          <w:rFonts w:ascii="Times New Roman" w:cs="Times New Roman" w:eastAsia="Times New Roman" w:hAnsi="Times New Roman"/>
          <w:sz w:val="20"/>
          <w:szCs w:val="20"/>
          <w:color w:val="363636"/>
        </w:rPr>
        <w:t>the</w:t>
      </w:r>
      <w:r>
        <w:rPr>
          <w:rFonts w:ascii="Times New Roman" w:cs="Times New Roman" w:eastAsia="Times New Roman" w:hAnsi="Times New Roman"/>
          <w:sz w:val="20"/>
          <w:szCs w:val="20"/>
          <w:color w:val="444444"/>
        </w:rPr>
        <w:t xml:space="preserve"> American Arbitration Association. </w:t>
      </w:r>
      <w:r>
        <w:rPr>
          <w:rFonts w:ascii="Times New Roman" w:cs="Times New Roman" w:eastAsia="Times New Roman" w:hAnsi="Times New Roman"/>
          <w:sz w:val="20"/>
          <w:szCs w:val="20"/>
          <w:color w:val="363636"/>
        </w:rPr>
        <w:t>Either party may</w:t>
      </w:r>
      <w:r>
        <w:rPr>
          <w:rFonts w:ascii="Times New Roman" w:cs="Times New Roman" w:eastAsia="Times New Roman" w:hAnsi="Times New Roman"/>
          <w:sz w:val="20"/>
          <w:szCs w:val="20"/>
          <w:color w:val="444444"/>
        </w:rPr>
        <w:t xml:space="preserve"> notify </w:t>
      </w:r>
      <w:r>
        <w:rPr>
          <w:rFonts w:ascii="Times New Roman" w:cs="Times New Roman" w:eastAsia="Times New Roman" w:hAnsi="Times New Roman"/>
          <w:sz w:val="20"/>
          <w:szCs w:val="20"/>
          <w:color w:val="363636"/>
        </w:rPr>
        <w:t>the other party at any time of the existence of an arbitrable</w:t>
      </w:r>
      <w:r>
        <w:rPr>
          <w:rFonts w:ascii="Times New Roman" w:cs="Times New Roman" w:eastAsia="Times New Roman" w:hAnsi="Times New Roman"/>
          <w:sz w:val="20"/>
          <w:szCs w:val="20"/>
          <w:color w:val="444444"/>
        </w:rPr>
        <w:t xml:space="preserve"> controversy by </w:t>
      </w:r>
      <w:r>
        <w:rPr>
          <w:rFonts w:ascii="Times New Roman" w:cs="Times New Roman" w:eastAsia="Times New Roman" w:hAnsi="Times New Roman"/>
          <w:sz w:val="20"/>
          <w:szCs w:val="20"/>
          <w:color w:val="363636"/>
        </w:rPr>
        <w:t>delivery</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b w:val="1"/>
          <w:bCs w:val="1"/>
          <w:color w:val="363636"/>
        </w:rPr>
        <w:t>in</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color w:val="363636"/>
        </w:rPr>
        <w:t>person or by</w:t>
      </w:r>
      <w:r>
        <w:rPr>
          <w:rFonts w:ascii="Times New Roman" w:cs="Times New Roman" w:eastAsia="Times New Roman" w:hAnsi="Times New Roman"/>
          <w:sz w:val="20"/>
          <w:szCs w:val="20"/>
          <w:color w:val="444444"/>
        </w:rPr>
        <w:t xml:space="preserve"> certified </w:t>
      </w:r>
      <w:r>
        <w:rPr>
          <w:rFonts w:ascii="Times New Roman" w:cs="Times New Roman" w:eastAsia="Times New Roman" w:hAnsi="Times New Roman"/>
          <w:sz w:val="20"/>
          <w:szCs w:val="20"/>
          <w:color w:val="363636"/>
        </w:rPr>
        <w:t>mail of a</w:t>
      </w:r>
      <w:r>
        <w:rPr>
          <w:rFonts w:ascii="Times New Roman" w:cs="Times New Roman" w:eastAsia="Times New Roman" w:hAnsi="Times New Roman"/>
          <w:sz w:val="20"/>
          <w:szCs w:val="20"/>
          <w:color w:val="444444"/>
        </w:rPr>
        <w:t xml:space="preserve"> Notice </w:t>
      </w:r>
      <w:r>
        <w:rPr>
          <w:rFonts w:ascii="Times New Roman" w:cs="Times New Roman" w:eastAsia="Times New Roman" w:hAnsi="Times New Roman"/>
          <w:sz w:val="20"/>
          <w:szCs w:val="20"/>
          <w:color w:val="363636"/>
        </w:rPr>
        <w:t>of</w:t>
      </w:r>
      <w:r>
        <w:rPr>
          <w:rFonts w:ascii="Times New Roman" w:cs="Times New Roman" w:eastAsia="Times New Roman" w:hAnsi="Times New Roman"/>
          <w:sz w:val="20"/>
          <w:szCs w:val="20"/>
          <w:color w:val="444444"/>
        </w:rPr>
        <w:t xml:space="preserve"> Arbitrable </w:t>
      </w:r>
      <w:r>
        <w:rPr>
          <w:rFonts w:ascii="Times New Roman" w:cs="Times New Roman" w:eastAsia="Times New Roman" w:hAnsi="Times New Roman"/>
          <w:sz w:val="20"/>
          <w:szCs w:val="20"/>
          <w:color w:val="363636"/>
        </w:rPr>
        <w:t>Controversy. Upon receipt of such a</w:t>
      </w:r>
      <w:r>
        <w:rPr>
          <w:rFonts w:ascii="Times New Roman" w:cs="Times New Roman" w:eastAsia="Times New Roman" w:hAnsi="Times New Roman"/>
          <w:sz w:val="20"/>
          <w:szCs w:val="20"/>
          <w:color w:val="444444"/>
        </w:rPr>
        <w:t xml:space="preserve"> Notice, the </w:t>
      </w:r>
      <w:r>
        <w:rPr>
          <w:rFonts w:ascii="Times New Roman" w:cs="Times New Roman" w:eastAsia="Times New Roman" w:hAnsi="Times New Roman"/>
          <w:sz w:val="20"/>
          <w:szCs w:val="20"/>
          <w:color w:val="363636"/>
        </w:rPr>
        <w:t>parties shall</w:t>
      </w:r>
      <w:r>
        <w:rPr>
          <w:rFonts w:ascii="Times New Roman" w:cs="Times New Roman" w:eastAsia="Times New Roman" w:hAnsi="Times New Roman"/>
          <w:sz w:val="20"/>
          <w:szCs w:val="20"/>
          <w:color w:val="444444"/>
        </w:rPr>
        <w:t xml:space="preserve"> attempt </w:t>
      </w:r>
      <w:r>
        <w:rPr>
          <w:rFonts w:ascii="Times New Roman" w:cs="Times New Roman" w:eastAsia="Times New Roman" w:hAnsi="Times New Roman"/>
          <w:sz w:val="20"/>
          <w:szCs w:val="20"/>
          <w:b w:val="1"/>
          <w:bCs w:val="1"/>
          <w:color w:val="444444"/>
        </w:rPr>
        <w:t>in</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color w:val="363636"/>
        </w:rPr>
        <w:t>good faith to resolve the</w:t>
      </w:r>
      <w:r>
        <w:rPr>
          <w:rFonts w:ascii="Times New Roman" w:cs="Times New Roman" w:eastAsia="Times New Roman" w:hAnsi="Times New Roman"/>
          <w:sz w:val="20"/>
          <w:szCs w:val="20"/>
          <w:color w:val="595959"/>
        </w:rPr>
        <w:t>i</w:t>
      </w:r>
      <w:r>
        <w:rPr>
          <w:rFonts w:ascii="Times New Roman" w:cs="Times New Roman" w:eastAsia="Times New Roman" w:hAnsi="Times New Roman"/>
          <w:sz w:val="20"/>
          <w:szCs w:val="20"/>
          <w:color w:val="363636"/>
        </w:rPr>
        <w:t>r differences</w:t>
      </w:r>
      <w:r>
        <w:rPr>
          <w:rFonts w:ascii="Times New Roman" w:cs="Times New Roman" w:eastAsia="Times New Roman" w:hAnsi="Times New Roman"/>
          <w:sz w:val="20"/>
          <w:szCs w:val="20"/>
          <w:color w:val="444444"/>
        </w:rPr>
        <w:t xml:space="preserve"> wi</w:t>
      </w:r>
      <w:r>
        <w:rPr>
          <w:rFonts w:ascii="Times New Roman" w:cs="Times New Roman" w:eastAsia="Times New Roman" w:hAnsi="Times New Roman"/>
          <w:sz w:val="20"/>
          <w:szCs w:val="20"/>
          <w:color w:val="1F1F1F"/>
        </w:rPr>
        <w:t>thi</w:t>
      </w:r>
      <w:r>
        <w:rPr>
          <w:rFonts w:ascii="Times New Roman" w:cs="Times New Roman" w:eastAsia="Times New Roman" w:hAnsi="Times New Roman"/>
          <w:sz w:val="20"/>
          <w:szCs w:val="20"/>
          <w:color w:val="444444"/>
        </w:rPr>
        <w:t xml:space="preserve">n </w:t>
      </w:r>
      <w:r>
        <w:rPr>
          <w:rFonts w:ascii="Times New Roman" w:cs="Times New Roman" w:eastAsia="Times New Roman" w:hAnsi="Times New Roman"/>
          <w:sz w:val="20"/>
          <w:szCs w:val="20"/>
          <w:color w:val="363636"/>
        </w:rPr>
        <w:t>fifteen (15) days after the receipt of such Notice.</w:t>
      </w:r>
      <w:r>
        <w:rPr>
          <w:rFonts w:ascii="Times New Roman" w:cs="Times New Roman" w:eastAsia="Times New Roman" w:hAnsi="Times New Roman"/>
          <w:sz w:val="20"/>
          <w:szCs w:val="20"/>
          <w:color w:val="444444"/>
        </w:rPr>
        <w:t xml:space="preserve"> Notice </w:t>
      </w:r>
      <w:r>
        <w:rPr>
          <w:rFonts w:ascii="Times New Roman" w:cs="Times New Roman" w:eastAsia="Times New Roman" w:hAnsi="Times New Roman"/>
          <w:sz w:val="20"/>
          <w:szCs w:val="20"/>
          <w:color w:val="363636"/>
        </w:rPr>
        <w:t>to the</w:t>
      </w:r>
      <w:r>
        <w:rPr>
          <w:rFonts w:ascii="Times New Roman" w:cs="Times New Roman" w:eastAsia="Times New Roman" w:hAnsi="Times New Roman"/>
          <w:sz w:val="20"/>
          <w:szCs w:val="20"/>
          <w:color w:val="444444"/>
        </w:rPr>
        <w:t xml:space="preserve"> Company </w:t>
      </w:r>
      <w:r>
        <w:rPr>
          <w:rFonts w:ascii="Times New Roman" w:cs="Times New Roman" w:eastAsia="Times New Roman" w:hAnsi="Times New Roman"/>
          <w:sz w:val="20"/>
          <w:szCs w:val="20"/>
          <w:color w:val="363636"/>
        </w:rPr>
        <w:t>and the</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color w:val="363636"/>
        </w:rPr>
        <w:t xml:space="preserve">Executive shall be sent to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addresses specified in Section 7 above</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63636"/>
        </w:rPr>
        <w:t xml:space="preserve"> If the dispute cannot be resolved within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fifteen (15) day </w:t>
      </w:r>
      <w:r>
        <w:rPr>
          <w:rFonts w:ascii="Times New Roman" w:cs="Times New Roman" w:eastAsia="Times New Roman" w:hAnsi="Times New Roman"/>
          <w:sz w:val="20"/>
          <w:szCs w:val="20"/>
          <w:color w:val="444444"/>
        </w:rPr>
        <w:t>period,</w:t>
      </w:r>
      <w:r>
        <w:rPr>
          <w:rFonts w:ascii="Times New Roman" w:cs="Times New Roman" w:eastAsia="Times New Roman" w:hAnsi="Times New Roman"/>
          <w:sz w:val="20"/>
          <w:szCs w:val="20"/>
          <w:color w:val="363636"/>
        </w:rPr>
        <w:t xml:space="preserve"> either party may file </w:t>
      </w:r>
      <w:r>
        <w:rPr>
          <w:rFonts w:ascii="Times New Roman" w:cs="Times New Roman" w:eastAsia="Times New Roman" w:hAnsi="Times New Roman"/>
          <w:sz w:val="20"/>
          <w:szCs w:val="20"/>
          <w:color w:val="444444"/>
        </w:rPr>
        <w:t>a</w:t>
      </w:r>
      <w:r>
        <w:rPr>
          <w:rFonts w:ascii="Times New Roman" w:cs="Times New Roman" w:eastAsia="Times New Roman" w:hAnsi="Times New Roman"/>
          <w:sz w:val="20"/>
          <w:szCs w:val="20"/>
          <w:color w:val="363636"/>
        </w:rPr>
        <w:t xml:space="preserve"> written Demand for </w:t>
      </w:r>
      <w:r>
        <w:rPr>
          <w:rFonts w:ascii="Times New Roman" w:cs="Times New Roman" w:eastAsia="Times New Roman" w:hAnsi="Times New Roman"/>
          <w:sz w:val="20"/>
          <w:szCs w:val="20"/>
          <w:color w:val="444444"/>
        </w:rPr>
        <w:t>Arbitration</w:t>
      </w:r>
      <w:r>
        <w:rPr>
          <w:rFonts w:ascii="Times New Roman" w:cs="Times New Roman" w:eastAsia="Times New Roman" w:hAnsi="Times New Roman"/>
          <w:sz w:val="20"/>
          <w:szCs w:val="20"/>
          <w:color w:val="363636"/>
        </w:rPr>
        <w:t xml:space="preserve"> with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American Arbitration Association's Atlanta, Georgia Regional Office</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63636"/>
        </w:rPr>
        <w:t xml:space="preserve"> and shall send a copy of the Demand </w:t>
      </w:r>
      <w:r>
        <w:rPr>
          <w:rFonts w:ascii="Times New Roman" w:cs="Times New Roman" w:eastAsia="Times New Roman" w:hAnsi="Times New Roman"/>
          <w:sz w:val="20"/>
          <w:szCs w:val="20"/>
          <w:color w:val="444444"/>
        </w:rPr>
        <w:t>for</w:t>
      </w:r>
      <w:r>
        <w:rPr>
          <w:rFonts w:ascii="Times New Roman" w:cs="Times New Roman" w:eastAsia="Times New Roman" w:hAnsi="Times New Roman"/>
          <w:sz w:val="20"/>
          <w:szCs w:val="20"/>
          <w:color w:val="363636"/>
        </w:rPr>
        <w:t xml:space="preserve"> Arbitration to the other party.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arbitration shall be conducted before a panel of three (3) </w:t>
      </w:r>
      <w:r>
        <w:rPr>
          <w:rFonts w:ascii="Times New Roman" w:cs="Times New Roman" w:eastAsia="Times New Roman" w:hAnsi="Times New Roman"/>
          <w:sz w:val="20"/>
          <w:szCs w:val="20"/>
          <w:color w:val="444444"/>
        </w:rPr>
        <w:t>arbitrato</w:t>
      </w:r>
      <w:r>
        <w:rPr>
          <w:rFonts w:ascii="Times New Roman" w:cs="Times New Roman" w:eastAsia="Times New Roman" w:hAnsi="Times New Roman"/>
          <w:sz w:val="20"/>
          <w:szCs w:val="20"/>
          <w:color w:val="1F1F1F"/>
        </w:rPr>
        <w:t>rs</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363636"/>
        </w:rPr>
        <w:t xml:space="preserve"> The arbitrators shall be selected as </w:t>
      </w:r>
      <w:r>
        <w:rPr>
          <w:rFonts w:ascii="Times New Roman" w:cs="Times New Roman" w:eastAsia="Times New Roman" w:hAnsi="Times New Roman"/>
          <w:sz w:val="20"/>
          <w:szCs w:val="20"/>
          <w:color w:val="444444"/>
        </w:rPr>
        <w:t>follows:</w:t>
      </w:r>
      <w:r>
        <w:rPr>
          <w:rFonts w:ascii="Times New Roman" w:cs="Times New Roman" w:eastAsia="Times New Roman" w:hAnsi="Times New Roman"/>
          <w:sz w:val="20"/>
          <w:szCs w:val="20"/>
          <w:color w:val="363636"/>
        </w:rPr>
        <w:t xml:space="preserve"> (a) The party </w:t>
      </w:r>
      <w:r>
        <w:rPr>
          <w:rFonts w:ascii="Times New Roman" w:cs="Times New Roman" w:eastAsia="Times New Roman" w:hAnsi="Times New Roman"/>
          <w:sz w:val="20"/>
          <w:szCs w:val="20"/>
          <w:color w:val="444444"/>
        </w:rPr>
        <w:t>fi</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444444"/>
        </w:rPr>
        <w:t>ing</w:t>
      </w:r>
      <w:r>
        <w:rPr>
          <w:rFonts w:ascii="Times New Roman" w:cs="Times New Roman" w:eastAsia="Times New Roman" w:hAnsi="Times New Roman"/>
          <w:sz w:val="20"/>
          <w:szCs w:val="20"/>
          <w:color w:val="363636"/>
        </w:rPr>
        <w:t xml:space="preserve"> the Demand for </w:t>
      </w:r>
      <w:r>
        <w:rPr>
          <w:rFonts w:ascii="Times New Roman" w:cs="Times New Roman" w:eastAsia="Times New Roman" w:hAnsi="Times New Roman"/>
          <w:sz w:val="20"/>
          <w:szCs w:val="20"/>
          <w:color w:val="444444"/>
        </w:rPr>
        <w:t>Arbitration</w:t>
      </w:r>
      <w:r>
        <w:rPr>
          <w:rFonts w:ascii="Times New Roman" w:cs="Times New Roman" w:eastAsia="Times New Roman" w:hAnsi="Times New Roman"/>
          <w:sz w:val="20"/>
          <w:szCs w:val="20"/>
          <w:color w:val="363636"/>
        </w:rPr>
        <w:t xml:space="preserve"> shall simultaneously specify his or </w:t>
      </w:r>
      <w:r>
        <w:rPr>
          <w:rFonts w:ascii="Times New Roman" w:cs="Times New Roman" w:eastAsia="Times New Roman" w:hAnsi="Times New Roman"/>
          <w:sz w:val="20"/>
          <w:szCs w:val="20"/>
          <w:color w:val="444444"/>
        </w:rPr>
        <w:t>its</w:t>
      </w:r>
      <w:r>
        <w:rPr>
          <w:rFonts w:ascii="Times New Roman" w:cs="Times New Roman" w:eastAsia="Times New Roman" w:hAnsi="Times New Roman"/>
          <w:sz w:val="20"/>
          <w:szCs w:val="20"/>
          <w:color w:val="363636"/>
        </w:rPr>
        <w:t xml:space="preserve"> arbitrator, giving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363636"/>
        </w:rPr>
        <w:t xml:space="preserve"> name, address and telephone number </w:t>
      </w:r>
      <w:r>
        <w:rPr>
          <w:rFonts w:ascii="Times New Roman" w:cs="Times New Roman" w:eastAsia="Times New Roman" w:hAnsi="Times New Roman"/>
          <w:sz w:val="20"/>
          <w:szCs w:val="20"/>
          <w:color w:val="444444"/>
        </w:rPr>
        <w:t>of</w:t>
      </w:r>
      <w:r>
        <w:rPr>
          <w:rFonts w:ascii="Times New Roman" w:cs="Times New Roman" w:eastAsia="Times New Roman" w:hAnsi="Times New Roman"/>
          <w:sz w:val="20"/>
          <w:szCs w:val="20"/>
          <w:color w:val="363636"/>
        </w:rPr>
        <w:t xml:space="preserve"> said arbitrator; (b)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party receiving such notice shall notify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444444"/>
        </w:rPr>
        <w:t>he</w:t>
      </w:r>
      <w:r>
        <w:rPr>
          <w:rFonts w:ascii="Times New Roman" w:cs="Times New Roman" w:eastAsia="Times New Roman" w:hAnsi="Times New Roman"/>
          <w:sz w:val="20"/>
          <w:szCs w:val="20"/>
          <w:color w:val="363636"/>
        </w:rPr>
        <w:t xml:space="preserve"> party demanding the arbitration of his or its arbitrator</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63636"/>
        </w:rPr>
        <w:t xml:space="preserve"> g</w:t>
      </w:r>
      <w:r>
        <w:rPr>
          <w:rFonts w:ascii="Times New Roman" w:cs="Times New Roman" w:eastAsia="Times New Roman" w:hAnsi="Times New Roman"/>
          <w:sz w:val="20"/>
          <w:szCs w:val="20"/>
          <w:color w:val="595959"/>
        </w:rPr>
        <w:t>i</w:t>
      </w:r>
      <w:r>
        <w:rPr>
          <w:rFonts w:ascii="Times New Roman" w:cs="Times New Roman" w:eastAsia="Times New Roman" w:hAnsi="Times New Roman"/>
          <w:sz w:val="20"/>
          <w:szCs w:val="20"/>
          <w:color w:val="363636"/>
        </w:rPr>
        <w:t xml:space="preserve">ving the name, address and telephone number of the arbitrator within </w:t>
      </w:r>
      <w:r>
        <w:rPr>
          <w:rFonts w:ascii="Times New Roman" w:cs="Times New Roman" w:eastAsia="Times New Roman" w:hAnsi="Times New Roman"/>
          <w:sz w:val="20"/>
          <w:szCs w:val="20"/>
          <w:color w:val="444444"/>
        </w:rPr>
        <w:t>five</w:t>
      </w:r>
      <w:r>
        <w:rPr>
          <w:rFonts w:ascii="Times New Roman" w:cs="Times New Roman" w:eastAsia="Times New Roman" w:hAnsi="Times New Roman"/>
          <w:sz w:val="20"/>
          <w:szCs w:val="20"/>
          <w:color w:val="363636"/>
        </w:rPr>
        <w:t xml:space="preserve"> (5) </w:t>
      </w:r>
      <w:r>
        <w:rPr>
          <w:rFonts w:ascii="Times New Roman" w:cs="Times New Roman" w:eastAsia="Times New Roman" w:hAnsi="Times New Roman"/>
          <w:sz w:val="20"/>
          <w:szCs w:val="20"/>
          <w:color w:val="444444"/>
        </w:rPr>
        <w:t>days</w:t>
      </w:r>
      <w:r>
        <w:rPr>
          <w:rFonts w:ascii="Times New Roman" w:cs="Times New Roman" w:eastAsia="Times New Roman" w:hAnsi="Times New Roman"/>
          <w:sz w:val="20"/>
          <w:szCs w:val="20"/>
          <w:color w:val="363636"/>
        </w:rPr>
        <w:t xml:space="preserve"> of the receipt of such Demand for </w:t>
      </w:r>
      <w:r>
        <w:rPr>
          <w:rFonts w:ascii="Times New Roman" w:cs="Times New Roman" w:eastAsia="Times New Roman" w:hAnsi="Times New Roman"/>
          <w:sz w:val="20"/>
          <w:szCs w:val="20"/>
          <w:color w:val="444444"/>
        </w:rPr>
        <w:t>Arbitration;</w:t>
      </w:r>
      <w:r>
        <w:rPr>
          <w:rFonts w:ascii="Times New Roman" w:cs="Times New Roman" w:eastAsia="Times New Roman" w:hAnsi="Times New Roman"/>
          <w:sz w:val="20"/>
          <w:szCs w:val="20"/>
          <w:color w:val="363636"/>
        </w:rPr>
        <w:t xml:space="preserve"> (c) A neutra</w:t>
      </w:r>
      <w:r>
        <w:rPr>
          <w:rFonts w:ascii="Times New Roman" w:cs="Times New Roman" w:eastAsia="Times New Roman" w:hAnsi="Times New Roman"/>
          <w:sz w:val="20"/>
          <w:szCs w:val="20"/>
          <w:color w:val="595959"/>
        </w:rPr>
        <w:t>l</w:t>
      </w:r>
      <w:r>
        <w:rPr>
          <w:rFonts w:ascii="Times New Roman" w:cs="Times New Roman" w:eastAsia="Times New Roman" w:hAnsi="Times New Roman"/>
          <w:sz w:val="20"/>
          <w:szCs w:val="20"/>
          <w:color w:val="363636"/>
        </w:rPr>
        <w:t xml:space="preserve"> person shall be selected through the American Arbitration Association's arbitrator selection procedures to serve as the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444444"/>
        </w:rPr>
        <w:t>hird</w:t>
      </w:r>
      <w:r>
        <w:rPr>
          <w:rFonts w:ascii="Times New Roman" w:cs="Times New Roman" w:eastAsia="Times New Roman" w:hAnsi="Times New Roman"/>
          <w:sz w:val="20"/>
          <w:szCs w:val="20"/>
          <w:color w:val="363636"/>
        </w:rPr>
        <w:t xml:space="preserve"> arbitrator. The arbitrator designated by any party need not be </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444444"/>
        </w:rPr>
        <w:t>eutral.</w:t>
      </w:r>
      <w:r>
        <w:rPr>
          <w:rFonts w:ascii="Times New Roman" w:cs="Times New Roman" w:eastAsia="Times New Roman" w:hAnsi="Times New Roman"/>
          <w:sz w:val="20"/>
          <w:szCs w:val="20"/>
          <w:color w:val="363636"/>
        </w:rPr>
        <w:t xml:space="preserve"> In the event that any person fails or </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444444"/>
        </w:rPr>
        <w:t>efuses</w:t>
      </w:r>
      <w:r>
        <w:rPr>
          <w:rFonts w:ascii="Times New Roman" w:cs="Times New Roman" w:eastAsia="Times New Roman" w:hAnsi="Times New Roman"/>
          <w:sz w:val="20"/>
          <w:szCs w:val="20"/>
          <w:color w:val="363636"/>
        </w:rPr>
        <w:t xml:space="preserve"> timely </w:t>
      </w:r>
      <w:r>
        <w:rPr>
          <w:rFonts w:ascii="Times New Roman" w:cs="Times New Roman" w:eastAsia="Times New Roman" w:hAnsi="Times New Roman"/>
          <w:sz w:val="20"/>
          <w:szCs w:val="20"/>
          <w:color w:val="444444"/>
        </w:rPr>
        <w:t>to</w:t>
      </w:r>
      <w:r>
        <w:rPr>
          <w:rFonts w:ascii="Times New Roman" w:cs="Times New Roman" w:eastAsia="Times New Roman" w:hAnsi="Times New Roman"/>
          <w:sz w:val="20"/>
          <w:szCs w:val="20"/>
          <w:color w:val="363636"/>
        </w:rPr>
        <w:t xml:space="preserve"> name </w:t>
      </w:r>
      <w:r>
        <w:rPr>
          <w:rFonts w:ascii="Times New Roman" w:cs="Times New Roman" w:eastAsia="Times New Roman" w:hAnsi="Times New Roman"/>
          <w:sz w:val="20"/>
          <w:szCs w:val="20"/>
          <w:color w:val="444444"/>
        </w:rPr>
        <w:t>his arbitrator</w:t>
      </w:r>
      <w:r>
        <w:rPr>
          <w:rFonts w:ascii="Times New Roman" w:cs="Times New Roman" w:eastAsia="Times New Roman" w:hAnsi="Times New Roman"/>
          <w:sz w:val="20"/>
          <w:szCs w:val="20"/>
          <w:color w:val="363636"/>
        </w:rPr>
        <w:t xml:space="preserve"> within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363636"/>
        </w:rPr>
        <w:t xml:space="preserve"> time specified in this </w:t>
      </w:r>
      <w:r>
        <w:rPr>
          <w:rFonts w:ascii="Times New Roman" w:cs="Times New Roman" w:eastAsia="Times New Roman" w:hAnsi="Times New Roman"/>
          <w:sz w:val="20"/>
          <w:szCs w:val="20"/>
          <w:color w:val="444444"/>
        </w:rPr>
        <w:t>Section 8,</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1F1F1F"/>
        </w:rPr>
        <w:t>th</w:t>
      </w:r>
      <w:r>
        <w:rPr>
          <w:rFonts w:ascii="Times New Roman" w:cs="Times New Roman" w:eastAsia="Times New Roman" w:hAnsi="Times New Roman"/>
          <w:sz w:val="20"/>
          <w:szCs w:val="20"/>
          <w:color w:val="444444"/>
        </w:rPr>
        <w:t>e</w:t>
      </w:r>
      <w:r>
        <w:rPr>
          <w:rFonts w:ascii="Times New Roman" w:cs="Times New Roman" w:eastAsia="Times New Roman" w:hAnsi="Times New Roman"/>
          <w:sz w:val="20"/>
          <w:szCs w:val="20"/>
          <w:color w:val="363636"/>
        </w:rPr>
        <w:t xml:space="preserve"> American Arbitration Association shall (immediately </w:t>
      </w:r>
      <w:r>
        <w:rPr>
          <w:rFonts w:ascii="Times New Roman" w:cs="Times New Roman" w:eastAsia="Times New Roman" w:hAnsi="Times New Roman"/>
          <w:sz w:val="20"/>
          <w:szCs w:val="20"/>
          <w:color w:val="444444"/>
        </w:rPr>
        <w:t>upon</w:t>
      </w:r>
      <w:r>
        <w:rPr>
          <w:rFonts w:ascii="Times New Roman" w:cs="Times New Roman" w:eastAsia="Times New Roman" w:hAnsi="Times New Roman"/>
          <w:sz w:val="20"/>
          <w:szCs w:val="20"/>
          <w:color w:val="363636"/>
        </w:rPr>
        <w:t xml:space="preserve"> notice from the other party) </w:t>
      </w:r>
      <w:r>
        <w:rPr>
          <w:rFonts w:ascii="Times New Roman" w:cs="Times New Roman" w:eastAsia="Times New Roman" w:hAnsi="Times New Roman"/>
          <w:sz w:val="20"/>
          <w:szCs w:val="20"/>
          <w:color w:val="444444"/>
        </w:rPr>
        <w:t>appoint</w:t>
      </w:r>
      <w:r>
        <w:rPr>
          <w:rFonts w:ascii="Times New Roman" w:cs="Times New Roman" w:eastAsia="Times New Roman" w:hAnsi="Times New Roman"/>
          <w:sz w:val="20"/>
          <w:szCs w:val="20"/>
          <w:color w:val="363636"/>
        </w:rPr>
        <w:t xml:space="preserve"> an arbitrator. </w:t>
      </w:r>
      <w:r>
        <w:rPr>
          <w:rFonts w:ascii="Times New Roman" w:cs="Times New Roman" w:eastAsia="Times New Roman" w:hAnsi="Times New Roman"/>
          <w:sz w:val="20"/>
          <w:szCs w:val="20"/>
          <w:color w:val="444444"/>
        </w:rPr>
        <w:t>The arbitrato</w:t>
      </w:r>
      <w:r>
        <w:rPr>
          <w:rFonts w:ascii="Times New Roman" w:cs="Times New Roman" w:eastAsia="Times New Roman" w:hAnsi="Times New Roman"/>
          <w:sz w:val="20"/>
          <w:szCs w:val="20"/>
          <w:color w:val="1F1F1F"/>
        </w:rPr>
        <w:t>rs</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444444"/>
        </w:rPr>
        <w:t>thus</w:t>
      </w:r>
      <w:r>
        <w:rPr>
          <w:rFonts w:ascii="Times New Roman" w:cs="Times New Roman" w:eastAsia="Times New Roman" w:hAnsi="Times New Roman"/>
          <w:sz w:val="20"/>
          <w:szCs w:val="20"/>
          <w:color w:val="363636"/>
        </w:rPr>
        <w:t xml:space="preserve"> constituted shall promptly meet, select a chairperson, fix the time</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63636"/>
        </w:rPr>
        <w:t xml:space="preserve"> date(s), and place </w:t>
      </w:r>
      <w:r>
        <w:rPr>
          <w:rFonts w:ascii="Times New Roman" w:cs="Times New Roman" w:eastAsia="Times New Roman" w:hAnsi="Times New Roman"/>
          <w:sz w:val="20"/>
          <w:szCs w:val="20"/>
          <w:color w:val="444444"/>
        </w:rPr>
        <w:t>of</w:t>
      </w:r>
      <w:r>
        <w:rPr>
          <w:rFonts w:ascii="Times New Roman" w:cs="Times New Roman" w:eastAsia="Times New Roman" w:hAnsi="Times New Roman"/>
          <w:sz w:val="20"/>
          <w:szCs w:val="20"/>
          <w:color w:val="363636"/>
        </w:rPr>
        <w:t xml:space="preserve"> the </w:t>
      </w:r>
      <w:r>
        <w:rPr>
          <w:rFonts w:ascii="Times New Roman" w:cs="Times New Roman" w:eastAsia="Times New Roman" w:hAnsi="Times New Roman"/>
          <w:sz w:val="20"/>
          <w:szCs w:val="20"/>
          <w:color w:val="444444"/>
        </w:rPr>
        <w:t>hear</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444444"/>
        </w:rPr>
        <w:t>ng,</w:t>
      </w:r>
      <w:r>
        <w:rPr>
          <w:rFonts w:ascii="Times New Roman" w:cs="Times New Roman" w:eastAsia="Times New Roman" w:hAnsi="Times New Roman"/>
          <w:sz w:val="20"/>
          <w:szCs w:val="20"/>
          <w:color w:val="363636"/>
        </w:rPr>
        <w:t xml:space="preserve"> and </w:t>
      </w:r>
      <w:r>
        <w:rPr>
          <w:rFonts w:ascii="Times New Roman" w:cs="Times New Roman" w:eastAsia="Times New Roman" w:hAnsi="Times New Roman"/>
          <w:sz w:val="20"/>
          <w:szCs w:val="20"/>
          <w:color w:val="444444"/>
        </w:rPr>
        <w:t>notify</w:t>
      </w:r>
      <w:r>
        <w:rPr>
          <w:rFonts w:ascii="Times New Roman" w:cs="Times New Roman" w:eastAsia="Times New Roman" w:hAnsi="Times New Roman"/>
          <w:sz w:val="20"/>
          <w:szCs w:val="20"/>
          <w:color w:val="363636"/>
        </w:rPr>
        <w:t xml:space="preserve"> the parties. </w:t>
      </w:r>
      <w:r>
        <w:rPr>
          <w:rFonts w:ascii="Times New Roman" w:cs="Times New Roman" w:eastAsia="Times New Roman" w:hAnsi="Times New Roman"/>
          <w:sz w:val="20"/>
          <w:szCs w:val="20"/>
          <w:color w:val="444444"/>
        </w:rPr>
        <w:t>To</w:t>
      </w:r>
      <w:r>
        <w:rPr>
          <w:rFonts w:ascii="Times New Roman" w:cs="Times New Roman" w:eastAsia="Times New Roman" w:hAnsi="Times New Roman"/>
          <w:sz w:val="20"/>
          <w:szCs w:val="20"/>
          <w:color w:val="363636"/>
        </w:rPr>
        <w:t xml:space="preserve"> the extent practical</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63636"/>
        </w:rPr>
        <w:t xml:space="preserve"> the arbitrators shall schedule the hearing </w:t>
      </w:r>
      <w:r>
        <w:rPr>
          <w:rFonts w:ascii="Times New Roman" w:cs="Times New Roman" w:eastAsia="Times New Roman" w:hAnsi="Times New Roman"/>
          <w:sz w:val="20"/>
          <w:szCs w:val="20"/>
          <w:color w:val="444444"/>
        </w:rPr>
        <w:t>to</w:t>
      </w:r>
      <w:r>
        <w:rPr>
          <w:rFonts w:ascii="Times New Roman" w:cs="Times New Roman" w:eastAsia="Times New Roman" w:hAnsi="Times New Roman"/>
          <w:sz w:val="20"/>
          <w:szCs w:val="20"/>
          <w:color w:val="363636"/>
        </w:rPr>
        <w:t xml:space="preserve"> commence </w:t>
      </w:r>
      <w:r>
        <w:rPr>
          <w:rFonts w:ascii="Times New Roman" w:cs="Times New Roman" w:eastAsia="Times New Roman" w:hAnsi="Times New Roman"/>
          <w:sz w:val="20"/>
          <w:szCs w:val="20"/>
          <w:color w:val="444444"/>
        </w:rPr>
        <w:t>within</w:t>
      </w:r>
      <w:r>
        <w:rPr>
          <w:rFonts w:ascii="Times New Roman" w:cs="Times New Roman" w:eastAsia="Times New Roman" w:hAnsi="Times New Roman"/>
          <w:sz w:val="20"/>
          <w:szCs w:val="20"/>
          <w:color w:val="363636"/>
        </w:rPr>
        <w:t xml:space="preserve"> sixty </w:t>
      </w:r>
      <w:r>
        <w:rPr>
          <w:rFonts w:ascii="Times New Roman" w:cs="Times New Roman" w:eastAsia="Times New Roman" w:hAnsi="Times New Roman"/>
          <w:sz w:val="20"/>
          <w:szCs w:val="20"/>
          <w:color w:val="444444"/>
        </w:rPr>
        <w:t>(60) days</w:t>
      </w:r>
      <w:r>
        <w:rPr>
          <w:rFonts w:ascii="Times New Roman" w:cs="Times New Roman" w:eastAsia="Times New Roman" w:hAnsi="Times New Roman"/>
          <w:sz w:val="20"/>
          <w:szCs w:val="20"/>
          <w:color w:val="363636"/>
        </w:rPr>
        <w:t xml:space="preserve"> after the arbitrators have </w:t>
      </w:r>
      <w:r>
        <w:rPr>
          <w:rFonts w:ascii="Times New Roman" w:cs="Times New Roman" w:eastAsia="Times New Roman" w:hAnsi="Times New Roman"/>
          <w:sz w:val="20"/>
          <w:szCs w:val="20"/>
          <w:color w:val="444444"/>
        </w:rPr>
        <w:t>been impane</w:t>
      </w:r>
      <w:r>
        <w:rPr>
          <w:rFonts w:ascii="Times New Roman" w:cs="Times New Roman" w:eastAsia="Times New Roman" w:hAnsi="Times New Roman"/>
          <w:sz w:val="20"/>
          <w:szCs w:val="20"/>
          <w:color w:val="1F1F1F"/>
        </w:rPr>
        <w:t>led</w:t>
      </w:r>
      <w:r>
        <w:rPr>
          <w:rFonts w:ascii="Times New Roman" w:cs="Times New Roman" w:eastAsia="Times New Roman" w:hAnsi="Times New Roman"/>
          <w:sz w:val="20"/>
          <w:szCs w:val="20"/>
          <w:color w:val="444444"/>
        </w:rPr>
        <w:t>. A</w:t>
      </w:r>
      <w:r>
        <w:rPr>
          <w:rFonts w:ascii="Times New Roman" w:cs="Times New Roman" w:eastAsia="Times New Roman" w:hAnsi="Times New Roman"/>
          <w:sz w:val="20"/>
          <w:szCs w:val="20"/>
          <w:color w:val="363636"/>
        </w:rPr>
        <w:t xml:space="preserve"> majority of the panel shall render an award within ten (10) days of the </w:t>
      </w:r>
      <w:r>
        <w:rPr>
          <w:rFonts w:ascii="Times New Roman" w:cs="Times New Roman" w:eastAsia="Times New Roman" w:hAnsi="Times New Roman"/>
          <w:sz w:val="20"/>
          <w:szCs w:val="20"/>
          <w:color w:val="444444"/>
        </w:rPr>
        <w:t>completion of</w:t>
      </w:r>
      <w:r>
        <w:rPr>
          <w:rFonts w:ascii="Times New Roman" w:cs="Times New Roman" w:eastAsia="Times New Roman" w:hAnsi="Times New Roman"/>
          <w:sz w:val="20"/>
          <w:szCs w:val="20"/>
          <w:color w:val="363636"/>
        </w:rPr>
        <w:t xml:space="preserve"> the hearing, </w:t>
      </w:r>
      <w:r>
        <w:rPr>
          <w:rFonts w:ascii="Times New Roman" w:cs="Times New Roman" w:eastAsia="Times New Roman" w:hAnsi="Times New Roman"/>
          <w:sz w:val="20"/>
          <w:szCs w:val="20"/>
          <w:color w:val="444444"/>
        </w:rPr>
        <w:t xml:space="preserve">which </w:t>
      </w:r>
      <w:r>
        <w:rPr>
          <w:rFonts w:ascii="Times New Roman" w:cs="Times New Roman" w:eastAsia="Times New Roman" w:hAnsi="Times New Roman"/>
          <w:sz w:val="20"/>
          <w:szCs w:val="20"/>
          <w:color w:val="363636"/>
        </w:rPr>
        <w:t>award may</w:t>
      </w:r>
      <w:r>
        <w:rPr>
          <w:rFonts w:ascii="Times New Roman" w:cs="Times New Roman" w:eastAsia="Times New Roman" w:hAnsi="Times New Roman"/>
          <w:sz w:val="20"/>
          <w:szCs w:val="20"/>
          <w:color w:val="444444"/>
        </w:rPr>
        <w:t xml:space="preserve"> include </w:t>
      </w:r>
      <w:r>
        <w:rPr>
          <w:rFonts w:ascii="Times New Roman" w:cs="Times New Roman" w:eastAsia="Times New Roman" w:hAnsi="Times New Roman"/>
          <w:sz w:val="20"/>
          <w:szCs w:val="20"/>
          <w:color w:val="363636"/>
        </w:rPr>
        <w:t>an award of interest, legal</w:t>
      </w:r>
      <w:r>
        <w:rPr>
          <w:rFonts w:ascii="Times New Roman" w:cs="Times New Roman" w:eastAsia="Times New Roman" w:hAnsi="Times New Roman"/>
          <w:sz w:val="20"/>
          <w:szCs w:val="20"/>
          <w:color w:val="444444"/>
        </w:rPr>
        <w:t xml:space="preserve"> fees </w:t>
      </w:r>
      <w:r>
        <w:rPr>
          <w:rFonts w:ascii="Times New Roman" w:cs="Times New Roman" w:eastAsia="Times New Roman" w:hAnsi="Times New Roman"/>
          <w:sz w:val="20"/>
          <w:szCs w:val="20"/>
          <w:color w:val="363636"/>
        </w:rPr>
        <w:t>and</w:t>
      </w:r>
      <w:r>
        <w:rPr>
          <w:rFonts w:ascii="Times New Roman" w:cs="Times New Roman" w:eastAsia="Times New Roman" w:hAnsi="Times New Roman"/>
          <w:sz w:val="20"/>
          <w:szCs w:val="20"/>
          <w:color w:val="444444"/>
        </w:rPr>
        <w:t xml:space="preserve"> costs </w:t>
      </w:r>
      <w:r>
        <w:rPr>
          <w:rFonts w:ascii="Times New Roman" w:cs="Times New Roman" w:eastAsia="Times New Roman" w:hAnsi="Times New Roman"/>
          <w:sz w:val="20"/>
          <w:szCs w:val="20"/>
          <w:color w:val="363636"/>
        </w:rPr>
        <w:t>of arbitration.</w:t>
      </w:r>
      <w:r>
        <w:rPr>
          <w:rFonts w:ascii="Times New Roman" w:cs="Times New Roman" w:eastAsia="Times New Roman" w:hAnsi="Times New Roman"/>
          <w:sz w:val="20"/>
          <w:szCs w:val="20"/>
          <w:color w:val="444444"/>
        </w:rPr>
        <w:t xml:space="preserve"> The </w:t>
      </w:r>
      <w:r>
        <w:rPr>
          <w:rFonts w:ascii="Times New Roman" w:cs="Times New Roman" w:eastAsia="Times New Roman" w:hAnsi="Times New Roman"/>
          <w:sz w:val="20"/>
          <w:szCs w:val="20"/>
          <w:color w:val="363636"/>
        </w:rPr>
        <w:t>panel of arbitrators shall promptly transmit an</w:t>
      </w:r>
      <w:r>
        <w:rPr>
          <w:rFonts w:ascii="Times New Roman" w:cs="Times New Roman" w:eastAsia="Times New Roman" w:hAnsi="Times New Roman"/>
          <w:sz w:val="20"/>
          <w:szCs w:val="20"/>
          <w:color w:val="444444"/>
        </w:rPr>
        <w:t xml:space="preserve"> executed </w:t>
      </w:r>
      <w:r>
        <w:rPr>
          <w:rFonts w:ascii="Times New Roman" w:cs="Times New Roman" w:eastAsia="Times New Roman" w:hAnsi="Times New Roman"/>
          <w:sz w:val="20"/>
          <w:szCs w:val="20"/>
          <w:color w:val="363636"/>
        </w:rPr>
        <w:t xml:space="preserve">copy of the award to the </w:t>
      </w:r>
      <w:r>
        <w:rPr>
          <w:rFonts w:ascii="Times New Roman" w:cs="Times New Roman" w:eastAsia="Times New Roman" w:hAnsi="Times New Roman"/>
          <w:sz w:val="20"/>
          <w:szCs w:val="20"/>
          <w:color w:val="444444"/>
        </w:rPr>
        <w:t>respective parties. The</w:t>
      </w:r>
      <w:r>
        <w:rPr>
          <w:rFonts w:ascii="Times New Roman" w:cs="Times New Roman" w:eastAsia="Times New Roman" w:hAnsi="Times New Roman"/>
          <w:sz w:val="20"/>
          <w:szCs w:val="20"/>
          <w:color w:val="363636"/>
        </w:rPr>
        <w:t xml:space="preserve"> award of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arbitrators shall </w:t>
      </w:r>
      <w:r>
        <w:rPr>
          <w:rFonts w:ascii="Times New Roman" w:cs="Times New Roman" w:eastAsia="Times New Roman" w:hAnsi="Times New Roman"/>
          <w:sz w:val="20"/>
          <w:szCs w:val="20"/>
          <w:color w:val="444444"/>
        </w:rPr>
        <w:t>be</w:t>
      </w:r>
      <w:r>
        <w:rPr>
          <w:rFonts w:ascii="Times New Roman" w:cs="Times New Roman" w:eastAsia="Times New Roman" w:hAnsi="Times New Roman"/>
          <w:sz w:val="20"/>
          <w:szCs w:val="20"/>
          <w:color w:val="363636"/>
        </w:rPr>
        <w:t xml:space="preserve"> final, </w:t>
      </w:r>
      <w:r>
        <w:rPr>
          <w:rFonts w:ascii="Times New Roman" w:cs="Times New Roman" w:eastAsia="Times New Roman" w:hAnsi="Times New Roman"/>
          <w:sz w:val="20"/>
          <w:szCs w:val="20"/>
          <w:color w:val="444444"/>
        </w:rPr>
        <w:t>binding</w:t>
      </w:r>
      <w:r>
        <w:rPr>
          <w:rFonts w:ascii="Times New Roman" w:cs="Times New Roman" w:eastAsia="Times New Roman" w:hAnsi="Times New Roman"/>
          <w:sz w:val="20"/>
          <w:szCs w:val="20"/>
          <w:color w:val="363636"/>
        </w:rPr>
        <w:t xml:space="preserve"> and </w:t>
      </w:r>
      <w:r>
        <w:rPr>
          <w:rFonts w:ascii="Times New Roman" w:cs="Times New Roman" w:eastAsia="Times New Roman" w:hAnsi="Times New Roman"/>
          <w:sz w:val="20"/>
          <w:szCs w:val="20"/>
          <w:color w:val="444444"/>
        </w:rPr>
        <w:t>co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444444"/>
        </w:rPr>
        <w:t>clusive</w:t>
      </w:r>
      <w:r>
        <w:rPr>
          <w:rFonts w:ascii="Times New Roman" w:cs="Times New Roman" w:eastAsia="Times New Roman" w:hAnsi="Times New Roman"/>
          <w:sz w:val="20"/>
          <w:szCs w:val="20"/>
          <w:color w:val="363636"/>
        </w:rPr>
        <w:t xml:space="preserve"> upon </w:t>
      </w:r>
      <w:r>
        <w:rPr>
          <w:rFonts w:ascii="Times New Roman" w:cs="Times New Roman" w:eastAsia="Times New Roman" w:hAnsi="Times New Roman"/>
          <w:sz w:val="20"/>
          <w:szCs w:val="20"/>
          <w:color w:val="444444"/>
        </w:rPr>
        <w:t>the</w:t>
      </w:r>
      <w:r>
        <w:rPr>
          <w:rFonts w:ascii="Times New Roman" w:cs="Times New Roman" w:eastAsia="Times New Roman" w:hAnsi="Times New Roman"/>
          <w:sz w:val="20"/>
          <w:szCs w:val="20"/>
          <w:color w:val="363636"/>
        </w:rPr>
        <w:t xml:space="preserve"> parties hereto. Each </w:t>
      </w:r>
      <w:r>
        <w:rPr>
          <w:rFonts w:ascii="Times New Roman" w:cs="Times New Roman" w:eastAsia="Times New Roman" w:hAnsi="Times New Roman"/>
          <w:sz w:val="20"/>
          <w:szCs w:val="20"/>
          <w:color w:val="444444"/>
        </w:rPr>
        <w:t xml:space="preserve">party </w:t>
      </w:r>
      <w:r>
        <w:rPr>
          <w:rFonts w:ascii="Times New Roman" w:cs="Times New Roman" w:eastAsia="Times New Roman" w:hAnsi="Times New Roman"/>
          <w:sz w:val="20"/>
          <w:szCs w:val="20"/>
          <w:color w:val="363636"/>
        </w:rPr>
        <w:t>shall have the right</w:t>
      </w:r>
      <w:r>
        <w:rPr>
          <w:rFonts w:ascii="Times New Roman" w:cs="Times New Roman" w:eastAsia="Times New Roman" w:hAnsi="Times New Roman"/>
          <w:sz w:val="20"/>
          <w:szCs w:val="20"/>
          <w:color w:val="444444"/>
        </w:rPr>
        <w:t xml:space="preserve"> to </w:t>
      </w:r>
      <w:r>
        <w:rPr>
          <w:rFonts w:ascii="Times New Roman" w:cs="Times New Roman" w:eastAsia="Times New Roman" w:hAnsi="Times New Roman"/>
          <w:sz w:val="20"/>
          <w:szCs w:val="20"/>
          <w:color w:val="363636"/>
        </w:rPr>
        <w:t>have the award enforced by</w:t>
      </w:r>
      <w:r>
        <w:rPr>
          <w:rFonts w:ascii="Times New Roman" w:cs="Times New Roman" w:eastAsia="Times New Roman" w:hAnsi="Times New Roman"/>
          <w:sz w:val="20"/>
          <w:szCs w:val="20"/>
          <w:color w:val="444444"/>
        </w:rPr>
        <w:t xml:space="preserve"> any court of competent </w:t>
      </w:r>
      <w:r>
        <w:rPr>
          <w:rFonts w:ascii="Times New Roman" w:cs="Times New Roman" w:eastAsia="Times New Roman" w:hAnsi="Times New Roman"/>
          <w:sz w:val="20"/>
          <w:szCs w:val="20"/>
          <w:color w:val="363636"/>
        </w:rPr>
        <w:t>jurisdiction.</w:t>
      </w:r>
    </w:p>
    <w:p>
      <w:pPr>
        <w:spacing w:after="0" w:line="113" w:lineRule="exact"/>
        <w:rPr>
          <w:sz w:val="20"/>
          <w:szCs w:val="20"/>
          <w:color w:val="auto"/>
        </w:rPr>
      </w:pPr>
    </w:p>
    <w:p>
      <w:pPr>
        <w:ind w:left="649"/>
        <w:spacing w:after="0"/>
        <w:tabs>
          <w:tab w:leader="none" w:pos="7389" w:val="left"/>
        </w:tabs>
        <w:rPr>
          <w:sz w:val="20"/>
          <w:szCs w:val="20"/>
          <w:color w:val="auto"/>
        </w:rPr>
      </w:pPr>
      <w:r>
        <w:rPr>
          <w:rFonts w:ascii="Times New Roman" w:cs="Times New Roman" w:eastAsia="Times New Roman" w:hAnsi="Times New Roman"/>
          <w:sz w:val="20"/>
          <w:szCs w:val="20"/>
          <w:color w:val="444444"/>
        </w:rPr>
        <w:t xml:space="preserve">Executive </w:t>
      </w:r>
      <w:r>
        <w:rPr>
          <w:rFonts w:ascii="Times New Roman" w:cs="Times New Roman" w:eastAsia="Times New Roman" w:hAnsi="Times New Roman"/>
          <w:sz w:val="20"/>
          <w:szCs w:val="20"/>
          <w:color w:val="363636"/>
        </w:rPr>
        <w:t>initials</w:t>
      </w:r>
      <w:r>
        <w:rPr>
          <w:rFonts w:ascii="Times New Roman" w:cs="Times New Roman" w:eastAsia="Times New Roman" w:hAnsi="Times New Roman"/>
          <w:sz w:val="20"/>
          <w:szCs w:val="20"/>
          <w:color w:val="595959"/>
        </w:rPr>
        <w:t>:</w:t>
      </w:r>
      <w:r>
        <w:rPr>
          <w:sz w:val="20"/>
          <w:szCs w:val="20"/>
          <w:color w:val="auto"/>
        </w:rPr>
        <w:tab/>
      </w:r>
      <w:r>
        <w:rPr>
          <w:rFonts w:ascii="Times New Roman" w:cs="Times New Roman" w:eastAsia="Times New Roman" w:hAnsi="Times New Roman"/>
          <w:sz w:val="19"/>
          <w:szCs w:val="19"/>
          <w:color w:val="363636"/>
        </w:rPr>
        <w:t>Company initials:</w:t>
      </w:r>
    </w:p>
    <w:p>
      <w:pPr>
        <w:spacing w:after="0" w:line="283" w:lineRule="exact"/>
        <w:rPr>
          <w:sz w:val="20"/>
          <w:szCs w:val="20"/>
          <w:color w:val="auto"/>
        </w:rPr>
      </w:pPr>
    </w:p>
    <w:p>
      <w:pPr>
        <w:ind w:left="-671" w:right="120" w:firstLine="671"/>
        <w:spacing w:after="0" w:line="303" w:lineRule="auto"/>
        <w:tabs>
          <w:tab w:leader="none" w:pos="76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63636"/>
        </w:rPr>
        <w:t xml:space="preserve">NO WAIVER. No provision of </w:t>
      </w:r>
      <w:r>
        <w:rPr>
          <w:rFonts w:ascii="Times New Roman" w:cs="Times New Roman" w:eastAsia="Times New Roman" w:hAnsi="Times New Roman"/>
          <w:sz w:val="20"/>
          <w:szCs w:val="20"/>
          <w:color w:val="444444"/>
        </w:rPr>
        <w:t>this Agreement</w:t>
      </w:r>
      <w:r>
        <w:rPr>
          <w:rFonts w:ascii="Times New Roman" w:cs="Times New Roman" w:eastAsia="Times New Roman" w:hAnsi="Times New Roman"/>
          <w:sz w:val="20"/>
          <w:szCs w:val="20"/>
          <w:color w:val="363636"/>
        </w:rPr>
        <w:t xml:space="preserve"> may be modified</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363636"/>
        </w:rPr>
        <w:t xml:space="preserve"> waived or discharged </w:t>
      </w:r>
      <w:r>
        <w:rPr>
          <w:rFonts w:ascii="Times New Roman" w:cs="Times New Roman" w:eastAsia="Times New Roman" w:hAnsi="Times New Roman"/>
          <w:sz w:val="20"/>
          <w:szCs w:val="20"/>
          <w:color w:val="444444"/>
        </w:rPr>
        <w:t>unless</w:t>
      </w:r>
      <w:r>
        <w:rPr>
          <w:rFonts w:ascii="Times New Roman" w:cs="Times New Roman" w:eastAsia="Times New Roman" w:hAnsi="Times New Roman"/>
          <w:sz w:val="20"/>
          <w:szCs w:val="20"/>
          <w:color w:val="363636"/>
        </w:rPr>
        <w:t xml:space="preserve"> such </w:t>
      </w:r>
      <w:r>
        <w:rPr>
          <w:rFonts w:ascii="Times New Roman" w:cs="Times New Roman" w:eastAsia="Times New Roman" w:hAnsi="Times New Roman"/>
          <w:sz w:val="20"/>
          <w:szCs w:val="20"/>
          <w:color w:val="444444"/>
        </w:rPr>
        <w:t>waiver, modification</w:t>
      </w:r>
      <w:r>
        <w:rPr>
          <w:rFonts w:ascii="Times New Roman" w:cs="Times New Roman" w:eastAsia="Times New Roman" w:hAnsi="Times New Roman"/>
          <w:sz w:val="20"/>
          <w:szCs w:val="20"/>
          <w:color w:val="363636"/>
        </w:rPr>
        <w:t xml:space="preserve"> or discharge is </w:t>
      </w:r>
      <w:r>
        <w:rPr>
          <w:rFonts w:ascii="Times New Roman" w:cs="Times New Roman" w:eastAsia="Times New Roman" w:hAnsi="Times New Roman"/>
          <w:sz w:val="20"/>
          <w:szCs w:val="20"/>
          <w:color w:val="444444"/>
        </w:rPr>
        <w:t>approved by the Board and agreed to</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595959"/>
        </w:rPr>
        <w:t>in</w:t>
      </w:r>
      <w:r>
        <w:rPr>
          <w:rFonts w:ascii="Times New Roman" w:cs="Times New Roman" w:eastAsia="Times New Roman" w:hAnsi="Times New Roman"/>
          <w:sz w:val="20"/>
          <w:szCs w:val="20"/>
          <w:color w:val="363636"/>
        </w:rPr>
        <w:t xml:space="preserve"> a writing signed by </w:t>
      </w:r>
      <w:r>
        <w:rPr>
          <w:rFonts w:ascii="Times New Roman" w:cs="Times New Roman" w:eastAsia="Times New Roman" w:hAnsi="Times New Roman"/>
          <w:sz w:val="20"/>
          <w:szCs w:val="20"/>
          <w:color w:val="444444"/>
        </w:rPr>
        <w:t>the Executive and such officer</w:t>
      </w:r>
      <w:r>
        <w:rPr>
          <w:rFonts w:ascii="Times New Roman" w:cs="Times New Roman" w:eastAsia="Times New Roman" w:hAnsi="Times New Roman"/>
          <w:sz w:val="20"/>
          <w:szCs w:val="20"/>
          <w:color w:val="363636"/>
        </w:rPr>
        <w:t xml:space="preserve"> as may </w:t>
      </w:r>
      <w:r>
        <w:rPr>
          <w:rFonts w:ascii="Times New Roman" w:cs="Times New Roman" w:eastAsia="Times New Roman" w:hAnsi="Times New Roman"/>
          <w:sz w:val="20"/>
          <w:szCs w:val="20"/>
          <w:color w:val="444444"/>
        </w:rPr>
        <w:t>be</w:t>
      </w:r>
      <w:r>
        <w:rPr>
          <w:rFonts w:ascii="Times New Roman" w:cs="Times New Roman" w:eastAsia="Times New Roman" w:hAnsi="Times New Roman"/>
          <w:sz w:val="20"/>
          <w:szCs w:val="20"/>
          <w:color w:val="363636"/>
        </w:rPr>
        <w:t xml:space="preserve"> specifically authorized by </w:t>
      </w:r>
      <w:r>
        <w:rPr>
          <w:rFonts w:ascii="Times New Roman" w:cs="Times New Roman" w:eastAsia="Times New Roman" w:hAnsi="Times New Roman"/>
          <w:sz w:val="20"/>
          <w:szCs w:val="20"/>
          <w:color w:val="444444"/>
        </w:rPr>
        <w:t xml:space="preserve">the Board. </w:t>
      </w:r>
      <w:r>
        <w:rPr>
          <w:rFonts w:ascii="Times New Roman" w:cs="Times New Roman" w:eastAsia="Times New Roman" w:hAnsi="Times New Roman"/>
          <w:sz w:val="20"/>
          <w:szCs w:val="20"/>
          <w:color w:val="363636"/>
        </w:rPr>
        <w:t>No</w:t>
      </w:r>
      <w:r>
        <w:rPr>
          <w:rFonts w:ascii="Times New Roman" w:cs="Times New Roman" w:eastAsia="Times New Roman" w:hAnsi="Times New Roman"/>
          <w:sz w:val="20"/>
          <w:szCs w:val="20"/>
          <w:color w:val="444444"/>
        </w:rPr>
        <w:t xml:space="preserve"> waiver </w:t>
      </w:r>
      <w:r>
        <w:rPr>
          <w:rFonts w:ascii="Times New Roman" w:cs="Times New Roman" w:eastAsia="Times New Roman" w:hAnsi="Times New Roman"/>
          <w:sz w:val="20"/>
          <w:szCs w:val="20"/>
          <w:color w:val="363636"/>
        </w:rPr>
        <w:t>by</w:t>
      </w:r>
      <w:r>
        <w:rPr>
          <w:rFonts w:ascii="Times New Roman" w:cs="Times New Roman" w:eastAsia="Times New Roman" w:hAnsi="Times New Roman"/>
          <w:sz w:val="20"/>
          <w:szCs w:val="20"/>
          <w:color w:val="444444"/>
        </w:rPr>
        <w:t xml:space="preserve"> either party </w:t>
      </w:r>
      <w:r>
        <w:rPr>
          <w:rFonts w:ascii="Times New Roman" w:cs="Times New Roman" w:eastAsia="Times New Roman" w:hAnsi="Times New Roman"/>
          <w:sz w:val="20"/>
          <w:szCs w:val="20"/>
          <w:color w:val="595959"/>
        </w:rPr>
        <w:t>h</w:t>
      </w:r>
      <w:r>
        <w:rPr>
          <w:rFonts w:ascii="Times New Roman" w:cs="Times New Roman" w:eastAsia="Times New Roman" w:hAnsi="Times New Roman"/>
          <w:sz w:val="20"/>
          <w:szCs w:val="20"/>
          <w:color w:val="363636"/>
        </w:rPr>
        <w:t>ereto</w:t>
      </w:r>
      <w:r>
        <w:rPr>
          <w:rFonts w:ascii="Times New Roman" w:cs="Times New Roman" w:eastAsia="Times New Roman" w:hAnsi="Times New Roman"/>
          <w:sz w:val="20"/>
          <w:szCs w:val="20"/>
          <w:color w:val="444444"/>
        </w:rPr>
        <w:t xml:space="preserve"> at any </w:t>
      </w:r>
      <w:r>
        <w:rPr>
          <w:rFonts w:ascii="Times New Roman" w:cs="Times New Roman" w:eastAsia="Times New Roman" w:hAnsi="Times New Roman"/>
          <w:sz w:val="20"/>
          <w:szCs w:val="20"/>
          <w:color w:val="363636"/>
        </w:rPr>
        <w:t>time of any</w:t>
      </w:r>
      <w:r>
        <w:rPr>
          <w:rFonts w:ascii="Times New Roman" w:cs="Times New Roman" w:eastAsia="Times New Roman" w:hAnsi="Times New Roman"/>
          <w:sz w:val="20"/>
          <w:szCs w:val="20"/>
          <w:color w:val="444444"/>
        </w:rPr>
        <w:t xml:space="preserve"> breach </w:t>
      </w:r>
      <w:r>
        <w:rPr>
          <w:rFonts w:ascii="Times New Roman" w:cs="Times New Roman" w:eastAsia="Times New Roman" w:hAnsi="Times New Roman"/>
          <w:sz w:val="20"/>
          <w:szCs w:val="20"/>
          <w:color w:val="363636"/>
        </w:rPr>
        <w:t>by the other</w:t>
      </w:r>
      <w:r>
        <w:rPr>
          <w:rFonts w:ascii="Times New Roman" w:cs="Times New Roman" w:eastAsia="Times New Roman" w:hAnsi="Times New Roman"/>
          <w:sz w:val="20"/>
          <w:szCs w:val="20"/>
          <w:color w:val="444444"/>
        </w:rPr>
        <w:t xml:space="preserve"> party </w:t>
      </w:r>
      <w:r>
        <w:rPr>
          <w:rFonts w:ascii="Times New Roman" w:cs="Times New Roman" w:eastAsia="Times New Roman" w:hAnsi="Times New Roman"/>
          <w:sz w:val="20"/>
          <w:szCs w:val="20"/>
          <w:color w:val="363636"/>
        </w:rPr>
        <w:t>hereto of</w:t>
      </w:r>
      <w:r>
        <w:rPr>
          <w:rFonts w:ascii="Times New Roman" w:cs="Times New Roman" w:eastAsia="Times New Roman" w:hAnsi="Times New Roman"/>
          <w:sz w:val="20"/>
          <w:szCs w:val="20"/>
          <w:color w:val="696969"/>
        </w:rPr>
        <w:t>,</w:t>
      </w:r>
      <w:r>
        <w:rPr>
          <w:rFonts w:ascii="Times New Roman" w:cs="Times New Roman" w:eastAsia="Times New Roman" w:hAnsi="Times New Roman"/>
          <w:sz w:val="20"/>
          <w:szCs w:val="20"/>
          <w:color w:val="444444"/>
        </w:rPr>
        <w:t xml:space="preserve"> or compliance </w:t>
      </w:r>
      <w:r>
        <w:rPr>
          <w:rFonts w:ascii="Times New Roman" w:cs="Times New Roman" w:eastAsia="Times New Roman" w:hAnsi="Times New Roman"/>
          <w:sz w:val="20"/>
          <w:szCs w:val="20"/>
          <w:color w:val="363636"/>
        </w:rPr>
        <w:t>with,</w:t>
      </w:r>
      <w:r>
        <w:rPr>
          <w:rFonts w:ascii="Times New Roman" w:cs="Times New Roman" w:eastAsia="Times New Roman" w:hAnsi="Times New Roman"/>
          <w:sz w:val="20"/>
          <w:szCs w:val="20"/>
          <w:color w:val="444444"/>
        </w:rPr>
        <w:t xml:space="preserve"> any condit</w:t>
      </w:r>
      <w:r>
        <w:rPr>
          <w:rFonts w:ascii="Times New Roman" w:cs="Times New Roman" w:eastAsia="Times New Roman" w:hAnsi="Times New Roman"/>
          <w:sz w:val="20"/>
          <w:szCs w:val="20"/>
          <w:color w:val="1F1F1F"/>
        </w:rPr>
        <w:t>ion</w:t>
      </w:r>
      <w:r>
        <w:rPr>
          <w:rFonts w:ascii="Times New Roman" w:cs="Times New Roman" w:eastAsia="Times New Roman" w:hAnsi="Times New Roman"/>
          <w:sz w:val="20"/>
          <w:szCs w:val="20"/>
          <w:color w:val="444444"/>
        </w:rPr>
        <w:t xml:space="preserve"> or </w:t>
      </w:r>
      <w:r>
        <w:rPr>
          <w:rFonts w:ascii="Times New Roman" w:cs="Times New Roman" w:eastAsia="Times New Roman" w:hAnsi="Times New Roman"/>
          <w:sz w:val="20"/>
          <w:szCs w:val="20"/>
          <w:color w:val="363636"/>
        </w:rPr>
        <w:t xml:space="preserve">provision of </w:t>
      </w:r>
      <w:r>
        <w:rPr>
          <w:rFonts w:ascii="Times New Roman" w:cs="Times New Roman" w:eastAsia="Times New Roman" w:hAnsi="Times New Roman"/>
          <w:sz w:val="20"/>
          <w:szCs w:val="20"/>
          <w:color w:val="444444"/>
        </w:rPr>
        <w:t>this</w:t>
      </w:r>
      <w:r>
        <w:rPr>
          <w:rFonts w:ascii="Times New Roman" w:cs="Times New Roman" w:eastAsia="Times New Roman" w:hAnsi="Times New Roman"/>
          <w:sz w:val="20"/>
          <w:szCs w:val="20"/>
          <w:color w:val="363636"/>
        </w:rPr>
        <w:t xml:space="preserve"> Agreement to </w:t>
      </w:r>
      <w:r>
        <w:rPr>
          <w:rFonts w:ascii="Times New Roman" w:cs="Times New Roman" w:eastAsia="Times New Roman" w:hAnsi="Times New Roman"/>
          <w:sz w:val="20"/>
          <w:szCs w:val="20"/>
          <w:color w:val="444444"/>
        </w:rPr>
        <w:t>be</w:t>
      </w:r>
      <w:r>
        <w:rPr>
          <w:rFonts w:ascii="Times New Roman" w:cs="Times New Roman" w:eastAsia="Times New Roman" w:hAnsi="Times New Roman"/>
          <w:sz w:val="20"/>
          <w:szCs w:val="20"/>
          <w:color w:val="363636"/>
        </w:rPr>
        <w:t xml:space="preserve"> performed by such </w:t>
      </w:r>
      <w:r>
        <w:rPr>
          <w:rFonts w:ascii="Times New Roman" w:cs="Times New Roman" w:eastAsia="Times New Roman" w:hAnsi="Times New Roman"/>
          <w:sz w:val="20"/>
          <w:szCs w:val="20"/>
          <w:color w:val="444444"/>
        </w:rPr>
        <w:t>other</w:t>
      </w:r>
      <w:r>
        <w:rPr>
          <w:rFonts w:ascii="Times New Roman" w:cs="Times New Roman" w:eastAsia="Times New Roman" w:hAnsi="Times New Roman"/>
          <w:sz w:val="20"/>
          <w:szCs w:val="20"/>
          <w:color w:val="363636"/>
        </w:rPr>
        <w:t xml:space="preserve"> party shall </w:t>
      </w:r>
      <w:r>
        <w:rPr>
          <w:rFonts w:ascii="Times New Roman" w:cs="Times New Roman" w:eastAsia="Times New Roman" w:hAnsi="Times New Roman"/>
          <w:sz w:val="20"/>
          <w:szCs w:val="20"/>
          <w:color w:val="444444"/>
        </w:rPr>
        <w:t>be deemed</w:t>
      </w:r>
      <w:r>
        <w:rPr>
          <w:rFonts w:ascii="Times New Roman" w:cs="Times New Roman" w:eastAsia="Times New Roman" w:hAnsi="Times New Roman"/>
          <w:sz w:val="20"/>
          <w:szCs w:val="20"/>
          <w:color w:val="363636"/>
        </w:rPr>
        <w:t xml:space="preserve"> a </w:t>
      </w:r>
      <w:r>
        <w:rPr>
          <w:rFonts w:ascii="Times New Roman" w:cs="Times New Roman" w:eastAsia="Times New Roman" w:hAnsi="Times New Roman"/>
          <w:sz w:val="20"/>
          <w:szCs w:val="20"/>
          <w:color w:val="444444"/>
        </w:rPr>
        <w:t>waiver</w:t>
      </w:r>
      <w:r>
        <w:rPr>
          <w:rFonts w:ascii="Times New Roman" w:cs="Times New Roman" w:eastAsia="Times New Roman" w:hAnsi="Times New Roman"/>
          <w:sz w:val="20"/>
          <w:szCs w:val="20"/>
          <w:color w:val="363636"/>
        </w:rPr>
        <w:t xml:space="preserve"> of </w:t>
      </w:r>
      <w:r>
        <w:rPr>
          <w:rFonts w:ascii="Times New Roman" w:cs="Times New Roman" w:eastAsia="Times New Roman" w:hAnsi="Times New Roman"/>
          <w:sz w:val="20"/>
          <w:szCs w:val="20"/>
          <w:color w:val="444444"/>
        </w:rPr>
        <w:t>any</w:t>
      </w:r>
      <w:r>
        <w:rPr>
          <w:rFonts w:ascii="Times New Roman" w:cs="Times New Roman" w:eastAsia="Times New Roman" w:hAnsi="Times New Roman"/>
          <w:sz w:val="20"/>
          <w:szCs w:val="20"/>
          <w:color w:val="363636"/>
        </w:rPr>
        <w:t xml:space="preserve"> oth</w:t>
      </w:r>
      <w:r>
        <w:rPr>
          <w:rFonts w:ascii="Times New Roman" w:cs="Times New Roman" w:eastAsia="Times New Roman" w:hAnsi="Times New Roman"/>
          <w:sz w:val="20"/>
          <w:szCs w:val="20"/>
          <w:color w:val="595959"/>
        </w:rPr>
        <w:t>e</w:t>
      </w:r>
      <w:r>
        <w:rPr>
          <w:rFonts w:ascii="Times New Roman" w:cs="Times New Roman" w:eastAsia="Times New Roman" w:hAnsi="Times New Roman"/>
          <w:sz w:val="20"/>
          <w:szCs w:val="20"/>
          <w:color w:val="363636"/>
        </w:rPr>
        <w:t xml:space="preserve">r provisions </w:t>
      </w:r>
      <w:r>
        <w:rPr>
          <w:rFonts w:ascii="Times New Roman" w:cs="Times New Roman" w:eastAsia="Times New Roman" w:hAnsi="Times New Roman"/>
          <w:sz w:val="20"/>
          <w:szCs w:val="20"/>
          <w:color w:val="444444"/>
        </w:rPr>
        <w:t>or</w:t>
      </w:r>
      <w:r>
        <w:rPr>
          <w:rFonts w:ascii="Times New Roman" w:cs="Times New Roman" w:eastAsia="Times New Roman" w:hAnsi="Times New Roman"/>
          <w:sz w:val="20"/>
          <w:szCs w:val="20"/>
          <w:color w:val="363636"/>
        </w:rPr>
        <w:t xml:space="preserve"> conditions </w:t>
      </w:r>
      <w:r>
        <w:rPr>
          <w:rFonts w:ascii="Times New Roman" w:cs="Times New Roman" w:eastAsia="Times New Roman" w:hAnsi="Times New Roman"/>
          <w:sz w:val="20"/>
          <w:szCs w:val="20"/>
          <w:color w:val="444444"/>
        </w:rPr>
        <w:t>of</w:t>
      </w:r>
      <w:r>
        <w:rPr>
          <w:rFonts w:ascii="Times New Roman" w:cs="Times New Roman" w:eastAsia="Times New Roman" w:hAnsi="Times New Roman"/>
          <w:sz w:val="20"/>
          <w:szCs w:val="20"/>
          <w:color w:val="363636"/>
        </w:rPr>
        <w:t xml:space="preserve"> this </w:t>
      </w:r>
      <w:r>
        <w:rPr>
          <w:rFonts w:ascii="Times New Roman" w:cs="Times New Roman" w:eastAsia="Times New Roman" w:hAnsi="Times New Roman"/>
          <w:sz w:val="20"/>
          <w:szCs w:val="20"/>
          <w:color w:val="444444"/>
        </w:rPr>
        <w:t xml:space="preserve">Agreement at </w:t>
      </w:r>
      <w:r>
        <w:rPr>
          <w:rFonts w:ascii="Times New Roman" w:cs="Times New Roman" w:eastAsia="Times New Roman" w:hAnsi="Times New Roman"/>
          <w:sz w:val="20"/>
          <w:szCs w:val="20"/>
          <w:color w:val="595959"/>
        </w:rPr>
        <w:t>the</w:t>
      </w:r>
      <w:r>
        <w:rPr>
          <w:rFonts w:ascii="Times New Roman" w:cs="Times New Roman" w:eastAsia="Times New Roman" w:hAnsi="Times New Roman"/>
          <w:sz w:val="20"/>
          <w:szCs w:val="20"/>
          <w:color w:val="444444"/>
        </w:rPr>
        <w:t xml:space="preserve"> </w:t>
      </w:r>
      <w:r>
        <w:rPr>
          <w:rFonts w:ascii="Times New Roman" w:cs="Times New Roman" w:eastAsia="Times New Roman" w:hAnsi="Times New Roman"/>
          <w:sz w:val="20"/>
          <w:szCs w:val="20"/>
          <w:color w:val="363636"/>
        </w:rPr>
        <w:t>same or</w:t>
      </w:r>
      <w:r>
        <w:rPr>
          <w:rFonts w:ascii="Times New Roman" w:cs="Times New Roman" w:eastAsia="Times New Roman" w:hAnsi="Times New Roman"/>
          <w:sz w:val="20"/>
          <w:szCs w:val="20"/>
          <w:color w:val="444444"/>
        </w:rPr>
        <w:t xml:space="preserve"> at </w:t>
      </w:r>
      <w:r>
        <w:rPr>
          <w:rFonts w:ascii="Times New Roman" w:cs="Times New Roman" w:eastAsia="Times New Roman" w:hAnsi="Times New Roman"/>
          <w:sz w:val="20"/>
          <w:szCs w:val="20"/>
          <w:color w:val="363636"/>
        </w:rPr>
        <w:t>any</w:t>
      </w:r>
      <w:r>
        <w:rPr>
          <w:rFonts w:ascii="Times New Roman" w:cs="Times New Roman" w:eastAsia="Times New Roman" w:hAnsi="Times New Roman"/>
          <w:sz w:val="20"/>
          <w:szCs w:val="20"/>
          <w:color w:val="444444"/>
        </w:rPr>
        <w:t xml:space="preserve"> prior or </w:t>
      </w:r>
      <w:r>
        <w:rPr>
          <w:rFonts w:ascii="Times New Roman" w:cs="Times New Roman" w:eastAsia="Times New Roman" w:hAnsi="Times New Roman"/>
          <w:sz w:val="20"/>
          <w:szCs w:val="20"/>
          <w:color w:val="363636"/>
        </w:rPr>
        <w:t>subsequent time</w:t>
      </w:r>
      <w:r>
        <w:rPr>
          <w:rFonts w:ascii="Times New Roman" w:cs="Times New Roman" w:eastAsia="Times New Roman" w:hAnsi="Times New Roman"/>
          <w:sz w:val="20"/>
          <w:szCs w:val="20"/>
          <w:color w:val="595959"/>
        </w:rPr>
        <w:t>.</w:t>
      </w:r>
    </w:p>
    <w:p>
      <w:pPr>
        <w:sectPr>
          <w:pgSz w:w="11900" w:h="16838" w:orient="portrait"/>
          <w:cols w:equalWidth="0" w:num="1">
            <w:col w:w="10649"/>
          </w:cols>
          <w:pgMar w:left="991" w:top="468" w:right="259" w:bottom="1440" w:gutter="0" w:footer="0" w:header="0"/>
        </w:sectPr>
      </w:pPr>
    </w:p>
    <w:bookmarkStart w:id="127" w:name="page128"/>
    <w:bookmarkEnd w:id="127"/>
    <w:p>
      <w:pPr>
        <w:ind w:left="-644" w:right="140" w:firstLine="658"/>
        <w:spacing w:after="0" w:line="291" w:lineRule="auto"/>
        <w:tabs>
          <w:tab w:leader="none" w:pos="87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 xml:space="preserve">SUCCESSORS AND ASSIGNS. The </w:t>
      </w:r>
      <w:r>
        <w:rPr>
          <w:rFonts w:ascii="Times New Roman" w:cs="Times New Roman" w:eastAsia="Times New Roman" w:hAnsi="Times New Roman"/>
          <w:sz w:val="20"/>
          <w:szCs w:val="20"/>
          <w:color w:val="4F4F4F"/>
        </w:rPr>
        <w:t>ri</w:t>
      </w:r>
      <w:r>
        <w:rPr>
          <w:rFonts w:ascii="Times New Roman" w:cs="Times New Roman" w:eastAsia="Times New Roman" w:hAnsi="Times New Roman"/>
          <w:sz w:val="20"/>
          <w:szCs w:val="20"/>
          <w:color w:val="2D2D2D"/>
        </w:rPr>
        <w:t>ghts and obligat</w:t>
      </w:r>
      <w:r>
        <w:rPr>
          <w:rFonts w:ascii="Times New Roman" w:cs="Times New Roman" w:eastAsia="Times New Roman" w:hAnsi="Times New Roman"/>
          <w:sz w:val="20"/>
          <w:szCs w:val="20"/>
          <w:color w:val="4F4F4F"/>
        </w:rPr>
        <w:t>i</w:t>
      </w:r>
      <w:r>
        <w:rPr>
          <w:rFonts w:ascii="Times New Roman" w:cs="Times New Roman" w:eastAsia="Times New Roman" w:hAnsi="Times New Roman"/>
          <w:sz w:val="20"/>
          <w:szCs w:val="20"/>
          <w:color w:val="2D2D2D"/>
        </w:rPr>
        <w:t>ons of the</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4F4F4F"/>
        </w:rPr>
        <w:t>C</w:t>
      </w:r>
      <w:r>
        <w:rPr>
          <w:rFonts w:ascii="Times New Roman" w:cs="Times New Roman" w:eastAsia="Times New Roman" w:hAnsi="Times New Roman"/>
          <w:sz w:val="20"/>
          <w:szCs w:val="20"/>
          <w:color w:val="2D2D2D"/>
        </w:rPr>
        <w:t>ompany</w:t>
      </w:r>
      <w:r>
        <w:rPr>
          <w:rFonts w:ascii="Times New Roman" w:cs="Times New Roman" w:eastAsia="Times New Roman" w:hAnsi="Times New Roman"/>
          <w:sz w:val="20"/>
          <w:szCs w:val="20"/>
          <w:color w:val="3D3D3D"/>
        </w:rPr>
        <w:t xml:space="preserve"> under </w:t>
      </w:r>
      <w:r>
        <w:rPr>
          <w:rFonts w:ascii="Times New Roman" w:cs="Times New Roman" w:eastAsia="Times New Roman" w:hAnsi="Times New Roman"/>
          <w:sz w:val="20"/>
          <w:szCs w:val="20"/>
          <w:color w:val="2D2D2D"/>
        </w:rPr>
        <w:t>this</w:t>
      </w:r>
      <w:r>
        <w:rPr>
          <w:rFonts w:ascii="Times New Roman" w:cs="Times New Roman" w:eastAsia="Times New Roman" w:hAnsi="Times New Roman"/>
          <w:sz w:val="20"/>
          <w:szCs w:val="20"/>
          <w:color w:val="3D3D3D"/>
        </w:rPr>
        <w:t xml:space="preserve"> Agreement </w:t>
      </w:r>
      <w:r>
        <w:rPr>
          <w:rFonts w:ascii="Times New Roman" w:cs="Times New Roman" w:eastAsia="Times New Roman" w:hAnsi="Times New Roman"/>
          <w:sz w:val="20"/>
          <w:szCs w:val="20"/>
          <w:color w:val="2D2D2D"/>
        </w:rPr>
        <w:t>shall</w:t>
      </w:r>
      <w:r>
        <w:rPr>
          <w:rFonts w:ascii="Times New Roman" w:cs="Times New Roman" w:eastAsia="Times New Roman" w:hAnsi="Times New Roman"/>
          <w:sz w:val="20"/>
          <w:szCs w:val="20"/>
          <w:color w:val="3D3D3D"/>
        </w:rPr>
        <w:t xml:space="preserve"> inure </w:t>
      </w:r>
      <w:r>
        <w:rPr>
          <w:rFonts w:ascii="Times New Roman" w:cs="Times New Roman" w:eastAsia="Times New Roman" w:hAnsi="Times New Roman"/>
          <w:sz w:val="20"/>
          <w:szCs w:val="20"/>
          <w:color w:val="2D2D2D"/>
        </w:rPr>
        <w:t>to the</w:t>
      </w:r>
      <w:r>
        <w:rPr>
          <w:rFonts w:ascii="Times New Roman" w:cs="Times New Roman" w:eastAsia="Times New Roman" w:hAnsi="Times New Roman"/>
          <w:sz w:val="20"/>
          <w:szCs w:val="20"/>
          <w:color w:val="3D3D3D"/>
        </w:rPr>
        <w:t xml:space="preserve"> benefit of and be </w:t>
      </w:r>
      <w:r>
        <w:rPr>
          <w:rFonts w:ascii="Times New Roman" w:cs="Times New Roman" w:eastAsia="Times New Roman" w:hAnsi="Times New Roman"/>
          <w:sz w:val="20"/>
          <w:szCs w:val="20"/>
          <w:color w:val="2D2D2D"/>
        </w:rPr>
        <w:t>binding upon the</w:t>
      </w:r>
      <w:r>
        <w:rPr>
          <w:rFonts w:ascii="Times New Roman" w:cs="Times New Roman" w:eastAsia="Times New Roman" w:hAnsi="Times New Roman"/>
          <w:sz w:val="20"/>
          <w:szCs w:val="20"/>
          <w:color w:val="3D3D3D"/>
        </w:rPr>
        <w:t xml:space="preserve"> successors </w:t>
      </w:r>
      <w:r>
        <w:rPr>
          <w:rFonts w:ascii="Times New Roman" w:cs="Times New Roman" w:eastAsia="Times New Roman" w:hAnsi="Times New Roman"/>
          <w:sz w:val="20"/>
          <w:szCs w:val="20"/>
          <w:color w:val="2D2D2D"/>
        </w:rPr>
        <w:t>and</w:t>
      </w:r>
      <w:r>
        <w:rPr>
          <w:rFonts w:ascii="Times New Roman" w:cs="Times New Roman" w:eastAsia="Times New Roman" w:hAnsi="Times New Roman"/>
          <w:sz w:val="20"/>
          <w:szCs w:val="20"/>
          <w:color w:val="3D3D3D"/>
        </w:rPr>
        <w:t xml:space="preserve"> assigns </w:t>
      </w:r>
      <w:r>
        <w:rPr>
          <w:rFonts w:ascii="Times New Roman" w:cs="Times New Roman" w:eastAsia="Times New Roman" w:hAnsi="Times New Roman"/>
          <w:sz w:val="20"/>
          <w:szCs w:val="20"/>
          <w:color w:val="2D2D2D"/>
        </w:rPr>
        <w:t>of</w:t>
      </w:r>
      <w:r>
        <w:rPr>
          <w:rFonts w:ascii="Times New Roman" w:cs="Times New Roman" w:eastAsia="Times New Roman" w:hAnsi="Times New Roman"/>
          <w:sz w:val="20"/>
          <w:szCs w:val="20"/>
          <w:color w:val="3D3D3D"/>
        </w:rPr>
        <w:t xml:space="preserve"> the </w:t>
      </w:r>
      <w:r>
        <w:rPr>
          <w:rFonts w:ascii="Times New Roman" w:cs="Times New Roman" w:eastAsia="Times New Roman" w:hAnsi="Times New Roman"/>
          <w:sz w:val="20"/>
          <w:szCs w:val="20"/>
          <w:color w:val="4F4F4F"/>
        </w:rPr>
        <w:t>Co</w:t>
      </w:r>
      <w:r>
        <w:rPr>
          <w:rFonts w:ascii="Times New Roman" w:cs="Times New Roman" w:eastAsia="Times New Roman" w:hAnsi="Times New Roman"/>
          <w:sz w:val="20"/>
          <w:szCs w:val="20"/>
          <w:color w:val="2D2D2D"/>
        </w:rPr>
        <w:t>mpany and</w:t>
      </w:r>
      <w:r>
        <w:rPr>
          <w:rFonts w:ascii="Times New Roman" w:cs="Times New Roman" w:eastAsia="Times New Roman" w:hAnsi="Times New Roman"/>
          <w:sz w:val="20"/>
          <w:szCs w:val="20"/>
          <w:color w:val="3D3D3D"/>
        </w:rPr>
        <w:t xml:space="preserve"> the Executive's rights under this Agreement </w:t>
      </w:r>
      <w:r>
        <w:rPr>
          <w:rFonts w:ascii="Times New Roman" w:cs="Times New Roman" w:eastAsia="Times New Roman" w:hAnsi="Times New Roman"/>
          <w:sz w:val="20"/>
          <w:szCs w:val="20"/>
          <w:color w:val="2D2D2D"/>
        </w:rPr>
        <w:t>shall</w:t>
      </w:r>
      <w:r>
        <w:rPr>
          <w:rFonts w:ascii="Times New Roman" w:cs="Times New Roman" w:eastAsia="Times New Roman" w:hAnsi="Times New Roman"/>
          <w:sz w:val="20"/>
          <w:szCs w:val="20"/>
          <w:color w:val="3D3D3D"/>
        </w:rPr>
        <w:t xml:space="preserve"> inure </w:t>
      </w:r>
      <w:r>
        <w:rPr>
          <w:rFonts w:ascii="Times New Roman" w:cs="Times New Roman" w:eastAsia="Times New Roman" w:hAnsi="Times New Roman"/>
          <w:sz w:val="20"/>
          <w:szCs w:val="20"/>
          <w:color w:val="2D2D2D"/>
        </w:rPr>
        <w:t>to the</w:t>
      </w:r>
      <w:r>
        <w:rPr>
          <w:rFonts w:ascii="Times New Roman" w:cs="Times New Roman" w:eastAsia="Times New Roman" w:hAnsi="Times New Roman"/>
          <w:sz w:val="20"/>
          <w:szCs w:val="20"/>
          <w:color w:val="3D3D3D"/>
        </w:rPr>
        <w:t xml:space="preserve"> benefit of </w:t>
      </w:r>
      <w:r>
        <w:rPr>
          <w:rFonts w:ascii="Times New Roman" w:cs="Times New Roman" w:eastAsia="Times New Roman" w:hAnsi="Times New Roman"/>
          <w:sz w:val="20"/>
          <w:szCs w:val="20"/>
          <w:color w:val="2D2D2D"/>
        </w:rPr>
        <w:t>and</w:t>
      </w:r>
      <w:r>
        <w:rPr>
          <w:rFonts w:ascii="Times New Roman" w:cs="Times New Roman" w:eastAsia="Times New Roman" w:hAnsi="Times New Roman"/>
          <w:sz w:val="20"/>
          <w:szCs w:val="20"/>
          <w:color w:val="3D3D3D"/>
        </w:rPr>
        <w:t xml:space="preserve"> be binding upon his </w:t>
      </w:r>
      <w:r>
        <w:rPr>
          <w:rFonts w:ascii="Times New Roman" w:cs="Times New Roman" w:eastAsia="Times New Roman" w:hAnsi="Times New Roman"/>
          <w:sz w:val="20"/>
          <w:szCs w:val="20"/>
          <w:color w:val="2D2D2D"/>
        </w:rPr>
        <w:t>heirs and</w:t>
      </w:r>
      <w:r>
        <w:rPr>
          <w:rFonts w:ascii="Times New Roman" w:cs="Times New Roman" w:eastAsia="Times New Roman" w:hAnsi="Times New Roman"/>
          <w:sz w:val="20"/>
          <w:szCs w:val="20"/>
          <w:color w:val="3D3D3D"/>
        </w:rPr>
        <w:t xml:space="preserve"> executors. Neither this Agreement or </w:t>
      </w:r>
      <w:r>
        <w:rPr>
          <w:rFonts w:ascii="Times New Roman" w:cs="Times New Roman" w:eastAsia="Times New Roman" w:hAnsi="Times New Roman"/>
          <w:sz w:val="20"/>
          <w:szCs w:val="20"/>
          <w:color w:val="2D2D2D"/>
        </w:rPr>
        <w:t>any rights or</w:t>
      </w:r>
      <w:r>
        <w:rPr>
          <w:rFonts w:ascii="Times New Roman" w:cs="Times New Roman" w:eastAsia="Times New Roman" w:hAnsi="Times New Roman"/>
          <w:sz w:val="20"/>
          <w:szCs w:val="20"/>
          <w:color w:val="3D3D3D"/>
        </w:rPr>
        <w:t xml:space="preserve"> obligations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Executive herein </w:t>
      </w:r>
      <w:r>
        <w:rPr>
          <w:rFonts w:ascii="Times New Roman" w:cs="Times New Roman" w:eastAsia="Times New Roman" w:hAnsi="Times New Roman"/>
          <w:sz w:val="20"/>
          <w:szCs w:val="20"/>
          <w:color w:val="2D2D2D"/>
        </w:rPr>
        <w:t>shall be</w:t>
      </w:r>
      <w:r>
        <w:rPr>
          <w:rFonts w:ascii="Times New Roman" w:cs="Times New Roman" w:eastAsia="Times New Roman" w:hAnsi="Times New Roman"/>
          <w:sz w:val="20"/>
          <w:szCs w:val="20"/>
          <w:color w:val="3D3D3D"/>
        </w:rPr>
        <w:t xml:space="preserve"> transferable or assignable by the Executive.</w:t>
      </w:r>
    </w:p>
    <w:p>
      <w:pPr>
        <w:spacing w:after="0" w:line="194" w:lineRule="exact"/>
        <w:rPr>
          <w:rFonts w:ascii="Times New Roman" w:cs="Times New Roman" w:eastAsia="Times New Roman" w:hAnsi="Times New Roman"/>
          <w:sz w:val="20"/>
          <w:szCs w:val="20"/>
          <w:color w:val="auto"/>
        </w:rPr>
      </w:pPr>
    </w:p>
    <w:p>
      <w:pPr>
        <w:ind w:left="-644" w:firstLine="658"/>
        <w:spacing w:after="0" w:line="296" w:lineRule="auto"/>
        <w:tabs>
          <w:tab w:leader="none" w:pos="865"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 xml:space="preserve">VALIDITY. </w:t>
      </w:r>
      <w:r>
        <w:rPr>
          <w:rFonts w:ascii="Times New Roman" w:cs="Times New Roman" w:eastAsia="Times New Roman" w:hAnsi="Times New Roman"/>
          <w:sz w:val="20"/>
          <w:szCs w:val="20"/>
          <w:color w:val="4F4F4F"/>
        </w:rPr>
        <w:t>The</w:t>
      </w:r>
      <w:r>
        <w:rPr>
          <w:rFonts w:ascii="Times New Roman" w:cs="Times New Roman" w:eastAsia="Times New Roman" w:hAnsi="Times New Roman"/>
          <w:sz w:val="20"/>
          <w:szCs w:val="20"/>
          <w:color w:val="3D3D3D"/>
        </w:rPr>
        <w:t xml:space="preserve"> invalidity or unenforceability </w:t>
      </w:r>
      <w:r>
        <w:rPr>
          <w:rFonts w:ascii="Times New Roman" w:cs="Times New Roman" w:eastAsia="Times New Roman" w:hAnsi="Times New Roman"/>
          <w:sz w:val="20"/>
          <w:szCs w:val="20"/>
          <w:color w:val="2D2D2D"/>
        </w:rPr>
        <w:t>of</w:t>
      </w:r>
      <w:r>
        <w:rPr>
          <w:rFonts w:ascii="Times New Roman" w:cs="Times New Roman" w:eastAsia="Times New Roman" w:hAnsi="Times New Roman"/>
          <w:sz w:val="20"/>
          <w:szCs w:val="20"/>
          <w:color w:val="3D3D3D"/>
        </w:rPr>
        <w:t xml:space="preserve"> any provision or provis</w:t>
      </w:r>
      <w:r>
        <w:rPr>
          <w:rFonts w:ascii="Times New Roman" w:cs="Times New Roman" w:eastAsia="Times New Roman" w:hAnsi="Times New Roman"/>
          <w:sz w:val="20"/>
          <w:szCs w:val="20"/>
          <w:color w:val="626262"/>
        </w:rPr>
        <w:t>i</w:t>
      </w:r>
      <w:r>
        <w:rPr>
          <w:rFonts w:ascii="Times New Roman" w:cs="Times New Roman" w:eastAsia="Times New Roman" w:hAnsi="Times New Roman"/>
          <w:sz w:val="20"/>
          <w:szCs w:val="20"/>
          <w:color w:val="3D3D3D"/>
        </w:rPr>
        <w:t xml:space="preserve">ons of this Agreement </w:t>
      </w:r>
      <w:r>
        <w:rPr>
          <w:rFonts w:ascii="Times New Roman" w:cs="Times New Roman" w:eastAsia="Times New Roman" w:hAnsi="Times New Roman"/>
          <w:sz w:val="20"/>
          <w:szCs w:val="20"/>
          <w:color w:val="2D2D2D"/>
        </w:rPr>
        <w:t>shall not affect the validity</w:t>
      </w:r>
      <w:r>
        <w:rPr>
          <w:rFonts w:ascii="Times New Roman" w:cs="Times New Roman" w:eastAsia="Times New Roman" w:hAnsi="Times New Roman"/>
          <w:sz w:val="20"/>
          <w:szCs w:val="20"/>
          <w:color w:val="3D3D3D"/>
        </w:rPr>
        <w:t xml:space="preserve"> or enforceability of any other provisions of this Agreement, which </w:t>
      </w:r>
      <w:r>
        <w:rPr>
          <w:rFonts w:ascii="Times New Roman" w:cs="Times New Roman" w:eastAsia="Times New Roman" w:hAnsi="Times New Roman"/>
          <w:sz w:val="20"/>
          <w:szCs w:val="20"/>
          <w:color w:val="2D2D2D"/>
        </w:rPr>
        <w:t>shall</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4F4F4F"/>
        </w:rPr>
        <w:t>remai</w:t>
      </w:r>
      <w:r>
        <w:rPr>
          <w:rFonts w:ascii="Times New Roman" w:cs="Times New Roman" w:eastAsia="Times New Roman" w:hAnsi="Times New Roman"/>
          <w:sz w:val="20"/>
          <w:szCs w:val="20"/>
          <w:color w:val="2D2D2D"/>
        </w:rPr>
        <w:t>n</w:t>
      </w:r>
      <w:r>
        <w:rPr>
          <w:rFonts w:ascii="Times New Roman" w:cs="Times New Roman" w:eastAsia="Times New Roman" w:hAnsi="Times New Roman"/>
          <w:sz w:val="20"/>
          <w:szCs w:val="20"/>
          <w:color w:val="3D3D3D"/>
        </w:rPr>
        <w:t xml:space="preserve"> in full </w:t>
      </w:r>
      <w:r>
        <w:rPr>
          <w:rFonts w:ascii="Times New Roman" w:cs="Times New Roman" w:eastAsia="Times New Roman" w:hAnsi="Times New Roman"/>
          <w:sz w:val="20"/>
          <w:szCs w:val="20"/>
          <w:color w:val="2D2D2D"/>
        </w:rPr>
        <w:t>force and</w:t>
      </w:r>
      <w:r>
        <w:rPr>
          <w:rFonts w:ascii="Times New Roman" w:cs="Times New Roman" w:eastAsia="Times New Roman" w:hAnsi="Times New Roman"/>
          <w:sz w:val="20"/>
          <w:szCs w:val="20"/>
          <w:color w:val="3D3D3D"/>
        </w:rPr>
        <w:t xml:space="preserve"> effect. The </w:t>
      </w:r>
      <w:r>
        <w:rPr>
          <w:rFonts w:ascii="Times New Roman" w:cs="Times New Roman" w:eastAsia="Times New Roman" w:hAnsi="Times New Roman"/>
          <w:sz w:val="20"/>
          <w:szCs w:val="20"/>
          <w:color w:val="2D2D2D"/>
        </w:rPr>
        <w:t>parties</w:t>
      </w:r>
      <w:r>
        <w:rPr>
          <w:rFonts w:ascii="Times New Roman" w:cs="Times New Roman" w:eastAsia="Times New Roman" w:hAnsi="Times New Roman"/>
          <w:sz w:val="20"/>
          <w:szCs w:val="20"/>
          <w:color w:val="3D3D3D"/>
        </w:rPr>
        <w:t xml:space="preserve"> intend for each of the covenants contained </w:t>
      </w:r>
      <w:r>
        <w:rPr>
          <w:rFonts w:ascii="Times New Roman" w:cs="Times New Roman" w:eastAsia="Times New Roman" w:hAnsi="Times New Roman"/>
          <w:sz w:val="20"/>
          <w:szCs w:val="20"/>
          <w:color w:val="2D2D2D"/>
        </w:rPr>
        <w:t>in</w:t>
      </w:r>
      <w:r>
        <w:rPr>
          <w:rFonts w:ascii="Times New Roman" w:cs="Times New Roman" w:eastAsia="Times New Roman" w:hAnsi="Times New Roman"/>
          <w:sz w:val="20"/>
          <w:szCs w:val="20"/>
          <w:color w:val="3D3D3D"/>
        </w:rPr>
        <w:t xml:space="preserve"> Section 4 to be severable from one another.</w:t>
      </w:r>
    </w:p>
    <w:p>
      <w:pPr>
        <w:spacing w:after="0" w:line="188" w:lineRule="exact"/>
        <w:rPr>
          <w:rFonts w:ascii="Times New Roman" w:cs="Times New Roman" w:eastAsia="Times New Roman" w:hAnsi="Times New Roman"/>
          <w:sz w:val="20"/>
          <w:szCs w:val="20"/>
          <w:color w:val="auto"/>
        </w:rPr>
      </w:pPr>
    </w:p>
    <w:p>
      <w:pPr>
        <w:ind w:left="-644" w:right="140" w:firstLine="644"/>
        <w:spacing w:after="0" w:line="291" w:lineRule="auto"/>
        <w:tabs>
          <w:tab w:leader="none" w:pos="89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 xml:space="preserve">SURVIVAL. The provisions of Section 4 hereof shall </w:t>
      </w:r>
      <w:r>
        <w:rPr>
          <w:rFonts w:ascii="Times New Roman" w:cs="Times New Roman" w:eastAsia="Times New Roman" w:hAnsi="Times New Roman"/>
          <w:sz w:val="20"/>
          <w:szCs w:val="20"/>
          <w:color w:val="2D2D2D"/>
        </w:rPr>
        <w:t>surv</w:t>
      </w:r>
      <w:r>
        <w:rPr>
          <w:rFonts w:ascii="Times New Roman" w:cs="Times New Roman" w:eastAsia="Times New Roman" w:hAnsi="Times New Roman"/>
          <w:sz w:val="20"/>
          <w:szCs w:val="20"/>
          <w:color w:val="4F4F4F"/>
        </w:rPr>
        <w:t>ive</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the termination</w:t>
      </w:r>
      <w:r>
        <w:rPr>
          <w:rFonts w:ascii="Times New Roman" w:cs="Times New Roman" w:eastAsia="Times New Roman" w:hAnsi="Times New Roman"/>
          <w:sz w:val="20"/>
          <w:szCs w:val="20"/>
          <w:color w:val="3D3D3D"/>
        </w:rPr>
        <w:t xml:space="preserve"> of Executive's employment </w:t>
      </w:r>
      <w:r>
        <w:rPr>
          <w:rFonts w:ascii="Times New Roman" w:cs="Times New Roman" w:eastAsia="Times New Roman" w:hAnsi="Times New Roman"/>
          <w:sz w:val="20"/>
          <w:szCs w:val="20"/>
          <w:color w:val="2D2D2D"/>
        </w:rPr>
        <w:t>and shall</w:t>
      </w:r>
      <w:r>
        <w:rPr>
          <w:rFonts w:ascii="Times New Roman" w:cs="Times New Roman" w:eastAsia="Times New Roman" w:hAnsi="Times New Roman"/>
          <w:sz w:val="20"/>
          <w:szCs w:val="20"/>
          <w:color w:val="3D3D3D"/>
        </w:rPr>
        <w:t xml:space="preserve"> be binding upon the Executive's personal or legal representative, executors, administrators</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successors</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3D3D3D"/>
        </w:rPr>
        <w:t xml:space="preserve"> heirs, </w:t>
      </w:r>
      <w:r>
        <w:rPr>
          <w:rFonts w:ascii="Times New Roman" w:cs="Times New Roman" w:eastAsia="Times New Roman" w:hAnsi="Times New Roman"/>
          <w:sz w:val="20"/>
          <w:szCs w:val="20"/>
          <w:color w:val="2D2D2D"/>
        </w:rPr>
        <w:t>distributees,</w:t>
      </w:r>
      <w:r>
        <w:rPr>
          <w:rFonts w:ascii="Times New Roman" w:cs="Times New Roman" w:eastAsia="Times New Roman" w:hAnsi="Times New Roman"/>
          <w:sz w:val="20"/>
          <w:szCs w:val="20"/>
          <w:color w:val="3D3D3D"/>
        </w:rPr>
        <w:t xml:space="preserve"> devisees </w:t>
      </w:r>
      <w:r>
        <w:rPr>
          <w:rFonts w:ascii="Times New Roman" w:cs="Times New Roman" w:eastAsia="Times New Roman" w:hAnsi="Times New Roman"/>
          <w:sz w:val="20"/>
          <w:szCs w:val="20"/>
          <w:color w:val="2D2D2D"/>
        </w:rPr>
        <w:t>and</w:t>
      </w:r>
      <w:r>
        <w:rPr>
          <w:rFonts w:ascii="Times New Roman" w:cs="Times New Roman" w:eastAsia="Times New Roman" w:hAnsi="Times New Roman"/>
          <w:sz w:val="20"/>
          <w:szCs w:val="20"/>
          <w:color w:val="3D3D3D"/>
        </w:rPr>
        <w:t xml:space="preserve"> legatees and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provisions of Section 5 hereof relating </w:t>
      </w:r>
      <w:r>
        <w:rPr>
          <w:rFonts w:ascii="Times New Roman" w:cs="Times New Roman" w:eastAsia="Times New Roman" w:hAnsi="Times New Roman"/>
          <w:sz w:val="20"/>
          <w:szCs w:val="20"/>
          <w:color w:val="2D2D2D"/>
        </w:rPr>
        <w:t>to payments and termination</w:t>
      </w:r>
      <w:r>
        <w:rPr>
          <w:rFonts w:ascii="Times New Roman" w:cs="Times New Roman" w:eastAsia="Times New Roman" w:hAnsi="Times New Roman"/>
          <w:sz w:val="20"/>
          <w:szCs w:val="20"/>
          <w:color w:val="3D3D3D"/>
        </w:rPr>
        <w:t xml:space="preserve"> of </w:t>
      </w:r>
      <w:r>
        <w:rPr>
          <w:rFonts w:ascii="Times New Roman" w:cs="Times New Roman" w:eastAsia="Times New Roman" w:hAnsi="Times New Roman"/>
          <w:sz w:val="20"/>
          <w:szCs w:val="20"/>
          <w:color w:val="2D2D2D"/>
        </w:rPr>
        <w:t>the Executive</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3D3D3D"/>
        </w:rPr>
        <w:t xml:space="preserve">s </w:t>
      </w:r>
      <w:r>
        <w:rPr>
          <w:rFonts w:ascii="Times New Roman" w:cs="Times New Roman" w:eastAsia="Times New Roman" w:hAnsi="Times New Roman"/>
          <w:sz w:val="20"/>
          <w:szCs w:val="20"/>
          <w:color w:val="2D2D2D"/>
        </w:rPr>
        <w:t>employment hereunder shall survive such</w:t>
      </w:r>
      <w:r>
        <w:rPr>
          <w:rFonts w:ascii="Times New Roman" w:cs="Times New Roman" w:eastAsia="Times New Roman" w:hAnsi="Times New Roman"/>
          <w:sz w:val="20"/>
          <w:szCs w:val="20"/>
          <w:color w:val="3D3D3D"/>
        </w:rPr>
        <w:t xml:space="preserve"> termination </w:t>
      </w:r>
      <w:r>
        <w:rPr>
          <w:rFonts w:ascii="Times New Roman" w:cs="Times New Roman" w:eastAsia="Times New Roman" w:hAnsi="Times New Roman"/>
          <w:sz w:val="20"/>
          <w:szCs w:val="20"/>
          <w:color w:val="2D2D2D"/>
        </w:rPr>
        <w:t>and shall</w:t>
      </w:r>
      <w:r>
        <w:rPr>
          <w:rFonts w:ascii="Times New Roman" w:cs="Times New Roman" w:eastAsia="Times New Roman" w:hAnsi="Times New Roman"/>
          <w:sz w:val="20"/>
          <w:szCs w:val="20"/>
          <w:color w:val="3D3D3D"/>
        </w:rPr>
        <w:t xml:space="preserve"> be </w:t>
      </w:r>
      <w:r>
        <w:rPr>
          <w:rFonts w:ascii="Times New Roman" w:cs="Times New Roman" w:eastAsia="Times New Roman" w:hAnsi="Times New Roman"/>
          <w:sz w:val="20"/>
          <w:szCs w:val="20"/>
          <w:color w:val="2D2D2D"/>
        </w:rPr>
        <w:t>binding upon</w:t>
      </w:r>
      <w:r>
        <w:rPr>
          <w:rFonts w:ascii="Times New Roman" w:cs="Times New Roman" w:eastAsia="Times New Roman" w:hAnsi="Times New Roman"/>
          <w:sz w:val="20"/>
          <w:szCs w:val="20"/>
          <w:color w:val="3D3D3D"/>
        </w:rPr>
        <w:t xml:space="preserve"> the Company.</w:t>
      </w:r>
    </w:p>
    <w:p>
      <w:pPr>
        <w:spacing w:after="0" w:line="208" w:lineRule="exact"/>
        <w:rPr>
          <w:rFonts w:ascii="Times New Roman" w:cs="Times New Roman" w:eastAsia="Times New Roman" w:hAnsi="Times New Roman"/>
          <w:sz w:val="20"/>
          <w:szCs w:val="20"/>
          <w:color w:val="auto"/>
        </w:rPr>
      </w:pPr>
    </w:p>
    <w:p>
      <w:pPr>
        <w:ind w:left="-644" w:firstLine="658"/>
        <w:spacing w:after="0" w:line="311" w:lineRule="auto"/>
        <w:tabs>
          <w:tab w:leader="none" w:pos="88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 xml:space="preserve">COUNTERPARTS. This Agreement </w:t>
      </w:r>
      <w:r>
        <w:rPr>
          <w:rFonts w:ascii="Times New Roman" w:cs="Times New Roman" w:eastAsia="Times New Roman" w:hAnsi="Times New Roman"/>
          <w:sz w:val="20"/>
          <w:szCs w:val="20"/>
          <w:color w:val="2D2D2D"/>
        </w:rPr>
        <w:t>may</w:t>
      </w:r>
      <w:r>
        <w:rPr>
          <w:rFonts w:ascii="Times New Roman" w:cs="Times New Roman" w:eastAsia="Times New Roman" w:hAnsi="Times New Roman"/>
          <w:sz w:val="20"/>
          <w:szCs w:val="20"/>
          <w:color w:val="3D3D3D"/>
        </w:rPr>
        <w:t xml:space="preserve"> be executed </w:t>
      </w:r>
      <w:r>
        <w:rPr>
          <w:rFonts w:ascii="Times New Roman" w:cs="Times New Roman" w:eastAsia="Times New Roman" w:hAnsi="Times New Roman"/>
          <w:sz w:val="20"/>
          <w:szCs w:val="20"/>
          <w:color w:val="2D2D2D"/>
        </w:rPr>
        <w:t>in one</w:t>
      </w:r>
      <w:r>
        <w:rPr>
          <w:rFonts w:ascii="Times New Roman" w:cs="Times New Roman" w:eastAsia="Times New Roman" w:hAnsi="Times New Roman"/>
          <w:sz w:val="20"/>
          <w:szCs w:val="20"/>
          <w:color w:val="3D3D3D"/>
        </w:rPr>
        <w:t xml:space="preserve"> or more counterparts, each of which </w:t>
      </w:r>
      <w:r>
        <w:rPr>
          <w:rFonts w:ascii="Times New Roman" w:cs="Times New Roman" w:eastAsia="Times New Roman" w:hAnsi="Times New Roman"/>
          <w:sz w:val="20"/>
          <w:szCs w:val="20"/>
          <w:color w:val="2D2D2D"/>
        </w:rPr>
        <w:t>shall be</w:t>
      </w:r>
      <w:r>
        <w:rPr>
          <w:rFonts w:ascii="Times New Roman" w:cs="Times New Roman" w:eastAsia="Times New Roman" w:hAnsi="Times New Roman"/>
          <w:sz w:val="20"/>
          <w:szCs w:val="20"/>
          <w:color w:val="3D3D3D"/>
        </w:rPr>
        <w:t xml:space="preserve"> deemed to </w:t>
      </w:r>
      <w:r>
        <w:rPr>
          <w:rFonts w:ascii="Times New Roman" w:cs="Times New Roman" w:eastAsia="Times New Roman" w:hAnsi="Times New Roman"/>
          <w:sz w:val="20"/>
          <w:szCs w:val="20"/>
          <w:color w:val="2D2D2D"/>
        </w:rPr>
        <w:t>be an</w:t>
      </w:r>
      <w:r>
        <w:rPr>
          <w:rFonts w:ascii="Times New Roman" w:cs="Times New Roman" w:eastAsia="Times New Roman" w:hAnsi="Times New Roman"/>
          <w:sz w:val="20"/>
          <w:szCs w:val="20"/>
          <w:color w:val="3D3D3D"/>
        </w:rPr>
        <w:t xml:space="preserve"> original </w:t>
      </w:r>
      <w:r>
        <w:rPr>
          <w:rFonts w:ascii="Times New Roman" w:cs="Times New Roman" w:eastAsia="Times New Roman" w:hAnsi="Times New Roman"/>
          <w:sz w:val="20"/>
          <w:szCs w:val="20"/>
          <w:color w:val="2D2D2D"/>
        </w:rPr>
        <w:t>but</w:t>
      </w:r>
      <w:r>
        <w:rPr>
          <w:rFonts w:ascii="Times New Roman" w:cs="Times New Roman" w:eastAsia="Times New Roman" w:hAnsi="Times New Roman"/>
          <w:sz w:val="20"/>
          <w:szCs w:val="20"/>
          <w:color w:val="3D3D3D"/>
        </w:rPr>
        <w:t xml:space="preserve"> all of which </w:t>
      </w:r>
      <w:r>
        <w:rPr>
          <w:rFonts w:ascii="Times New Roman" w:cs="Times New Roman" w:eastAsia="Times New Roman" w:hAnsi="Times New Roman"/>
          <w:sz w:val="20"/>
          <w:szCs w:val="20"/>
          <w:color w:val="2D2D2D"/>
        </w:rPr>
        <w:t>together</w:t>
      </w:r>
      <w:r>
        <w:rPr>
          <w:rFonts w:ascii="Times New Roman" w:cs="Times New Roman" w:eastAsia="Times New Roman" w:hAnsi="Times New Roman"/>
          <w:sz w:val="20"/>
          <w:szCs w:val="20"/>
          <w:color w:val="3D3D3D"/>
        </w:rPr>
        <w:t xml:space="preserve"> will constitute one </w:t>
      </w:r>
      <w:r>
        <w:rPr>
          <w:rFonts w:ascii="Times New Roman" w:cs="Times New Roman" w:eastAsia="Times New Roman" w:hAnsi="Times New Roman"/>
          <w:sz w:val="20"/>
          <w:szCs w:val="20"/>
          <w:color w:val="2D2D2D"/>
        </w:rPr>
        <w:t>and the same</w:t>
      </w:r>
      <w:r>
        <w:rPr>
          <w:rFonts w:ascii="Times New Roman" w:cs="Times New Roman" w:eastAsia="Times New Roman" w:hAnsi="Times New Roman"/>
          <w:sz w:val="20"/>
          <w:szCs w:val="20"/>
          <w:color w:val="3D3D3D"/>
        </w:rPr>
        <w:t xml:space="preserve"> instrument.</w:t>
      </w:r>
    </w:p>
    <w:p>
      <w:pPr>
        <w:spacing w:after="0" w:line="174" w:lineRule="exact"/>
        <w:rPr>
          <w:sz w:val="20"/>
          <w:szCs w:val="20"/>
          <w:color w:val="auto"/>
        </w:rPr>
      </w:pPr>
    </w:p>
    <w:p>
      <w:pPr>
        <w:jc w:val="both"/>
        <w:ind w:left="-644" w:right="360" w:firstLine="644"/>
        <w:spacing w:after="0" w:line="291" w:lineRule="auto"/>
        <w:tabs>
          <w:tab w:leader="none" w:pos="89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D2D2D"/>
        </w:rPr>
        <w:t xml:space="preserve">ENTIRE </w:t>
      </w:r>
      <w:r>
        <w:rPr>
          <w:rFonts w:ascii="Times New Roman" w:cs="Times New Roman" w:eastAsia="Times New Roman" w:hAnsi="Times New Roman"/>
          <w:sz w:val="20"/>
          <w:szCs w:val="20"/>
          <w:color w:val="3D3D3D"/>
        </w:rPr>
        <w:t>AGREEMENT. This Agreement constitutes</w:t>
      </w:r>
      <w:r>
        <w:rPr>
          <w:rFonts w:ascii="Times New Roman" w:cs="Times New Roman" w:eastAsia="Times New Roman" w:hAnsi="Times New Roman"/>
          <w:sz w:val="20"/>
          <w:szCs w:val="20"/>
          <w:color w:val="2D2D2D"/>
        </w:rPr>
        <w:t xml:space="preserve"> the </w:t>
      </w:r>
      <w:r>
        <w:rPr>
          <w:rFonts w:ascii="Times New Roman" w:cs="Times New Roman" w:eastAsia="Times New Roman" w:hAnsi="Times New Roman"/>
          <w:sz w:val="20"/>
          <w:szCs w:val="20"/>
          <w:color w:val="3D3D3D"/>
        </w:rPr>
        <w:t>full</w:t>
      </w:r>
      <w:r>
        <w:rPr>
          <w:rFonts w:ascii="Times New Roman" w:cs="Times New Roman" w:eastAsia="Times New Roman" w:hAnsi="Times New Roman"/>
          <w:sz w:val="20"/>
          <w:szCs w:val="20"/>
          <w:color w:val="2D2D2D"/>
        </w:rPr>
        <w:t xml:space="preserve"> agreement and </w:t>
      </w:r>
      <w:r>
        <w:rPr>
          <w:rFonts w:ascii="Times New Roman" w:cs="Times New Roman" w:eastAsia="Times New Roman" w:hAnsi="Times New Roman"/>
          <w:sz w:val="20"/>
          <w:szCs w:val="20"/>
          <w:color w:val="3D3D3D"/>
        </w:rPr>
        <w:t>understanding of the parties</w:t>
      </w:r>
      <w:r>
        <w:rPr>
          <w:rFonts w:ascii="Times New Roman" w:cs="Times New Roman" w:eastAsia="Times New Roman" w:hAnsi="Times New Roman"/>
          <w:sz w:val="20"/>
          <w:szCs w:val="20"/>
          <w:color w:val="2D2D2D"/>
        </w:rPr>
        <w:t xml:space="preserve"> hereto </w:t>
      </w:r>
      <w:r>
        <w:rPr>
          <w:rFonts w:ascii="Times New Roman" w:cs="Times New Roman" w:eastAsia="Times New Roman" w:hAnsi="Times New Roman"/>
          <w:sz w:val="20"/>
          <w:szCs w:val="20"/>
          <w:color w:val="3D3D3D"/>
        </w:rPr>
        <w:t>with</w:t>
      </w:r>
      <w:r>
        <w:rPr>
          <w:rFonts w:ascii="Times New Roman" w:cs="Times New Roman" w:eastAsia="Times New Roman" w:hAnsi="Times New Roman"/>
          <w:sz w:val="20"/>
          <w:szCs w:val="20"/>
          <w:color w:val="2D2D2D"/>
        </w:rPr>
        <w:t xml:space="preserve"> respect </w:t>
      </w:r>
      <w:r>
        <w:rPr>
          <w:rFonts w:ascii="Times New Roman" w:cs="Times New Roman" w:eastAsia="Times New Roman" w:hAnsi="Times New Roman"/>
          <w:sz w:val="20"/>
          <w:szCs w:val="20"/>
          <w:color w:val="3D3D3D"/>
        </w:rPr>
        <w:t>to the</w:t>
      </w:r>
      <w:r>
        <w:rPr>
          <w:rFonts w:ascii="Times New Roman" w:cs="Times New Roman" w:eastAsia="Times New Roman" w:hAnsi="Times New Roman"/>
          <w:sz w:val="20"/>
          <w:szCs w:val="20"/>
          <w:color w:val="2D2D2D"/>
        </w:rPr>
        <w:t xml:space="preserve"> subject </w:t>
      </w:r>
      <w:r>
        <w:rPr>
          <w:rFonts w:ascii="Times New Roman" w:cs="Times New Roman" w:eastAsia="Times New Roman" w:hAnsi="Times New Roman"/>
          <w:sz w:val="20"/>
          <w:szCs w:val="20"/>
          <w:color w:val="3D3D3D"/>
        </w:rPr>
        <w:t>matter hereof</w:t>
      </w:r>
      <w:r>
        <w:rPr>
          <w:rFonts w:ascii="Times New Roman" w:cs="Times New Roman" w:eastAsia="Times New Roman" w:hAnsi="Times New Roman"/>
          <w:sz w:val="20"/>
          <w:szCs w:val="20"/>
          <w:color w:val="2D2D2D"/>
        </w:rPr>
        <w:t xml:space="preserve"> and a</w:t>
      </w:r>
      <w:r>
        <w:rPr>
          <w:rFonts w:ascii="Times New Roman" w:cs="Times New Roman" w:eastAsia="Times New Roman" w:hAnsi="Times New Roman"/>
          <w:sz w:val="20"/>
          <w:szCs w:val="20"/>
          <w:color w:val="4F4F4F"/>
        </w:rPr>
        <w:t>ll</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D3D3D"/>
        </w:rPr>
        <w:t>prior or contemporaneous agreements or understandings are merged herein.</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4F4F4F"/>
        </w:rPr>
        <w:t>T</w:t>
      </w:r>
      <w:r>
        <w:rPr>
          <w:rFonts w:ascii="Times New Roman" w:cs="Times New Roman" w:eastAsia="Times New Roman" w:hAnsi="Times New Roman"/>
          <w:sz w:val="20"/>
          <w:szCs w:val="20"/>
          <w:color w:val="2D2D2D"/>
        </w:rPr>
        <w:t xml:space="preserve">he </w:t>
      </w:r>
      <w:r>
        <w:rPr>
          <w:rFonts w:ascii="Times New Roman" w:cs="Times New Roman" w:eastAsia="Times New Roman" w:hAnsi="Times New Roman"/>
          <w:sz w:val="20"/>
          <w:szCs w:val="20"/>
          <w:color w:val="3D3D3D"/>
        </w:rPr>
        <w:t>parties</w:t>
      </w:r>
      <w:r>
        <w:rPr>
          <w:rFonts w:ascii="Times New Roman" w:cs="Times New Roman" w:eastAsia="Times New Roman" w:hAnsi="Times New Roman"/>
          <w:sz w:val="20"/>
          <w:szCs w:val="20"/>
          <w:color w:val="2D2D2D"/>
        </w:rPr>
        <w:t xml:space="preserve"> to this </w:t>
      </w:r>
      <w:r>
        <w:rPr>
          <w:rFonts w:ascii="Times New Roman" w:cs="Times New Roman" w:eastAsia="Times New Roman" w:hAnsi="Times New Roman"/>
          <w:sz w:val="20"/>
          <w:szCs w:val="20"/>
          <w:color w:val="3D3D3D"/>
        </w:rPr>
        <w:t xml:space="preserve">Agreement each acknowledge that </w:t>
      </w:r>
      <w:r>
        <w:rPr>
          <w:rFonts w:ascii="Times New Roman" w:cs="Times New Roman" w:eastAsia="Times New Roman" w:hAnsi="Times New Roman"/>
          <w:sz w:val="20"/>
          <w:szCs w:val="20"/>
          <w:color w:val="2D2D2D"/>
        </w:rPr>
        <w:t>both</w:t>
      </w:r>
      <w:r>
        <w:rPr>
          <w:rFonts w:ascii="Times New Roman" w:cs="Times New Roman" w:eastAsia="Times New Roman" w:hAnsi="Times New Roman"/>
          <w:sz w:val="20"/>
          <w:szCs w:val="20"/>
          <w:color w:val="3D3D3D"/>
        </w:rPr>
        <w:t xml:space="preserve"> of them </w:t>
      </w:r>
      <w:r>
        <w:rPr>
          <w:rFonts w:ascii="Times New Roman" w:cs="Times New Roman" w:eastAsia="Times New Roman" w:hAnsi="Times New Roman"/>
          <w:sz w:val="20"/>
          <w:szCs w:val="20"/>
          <w:color w:val="2D2D2D"/>
        </w:rPr>
        <w:t>and</w:t>
      </w:r>
      <w:r>
        <w:rPr>
          <w:rFonts w:ascii="Times New Roman" w:cs="Times New Roman" w:eastAsia="Times New Roman" w:hAnsi="Times New Roman"/>
          <w:sz w:val="20"/>
          <w:szCs w:val="20"/>
          <w:color w:val="3D3D3D"/>
        </w:rPr>
        <w:t xml:space="preserve"> their </w:t>
      </w:r>
      <w:r>
        <w:rPr>
          <w:rFonts w:ascii="Times New Roman" w:cs="Times New Roman" w:eastAsia="Times New Roman" w:hAnsi="Times New Roman"/>
          <w:sz w:val="20"/>
          <w:szCs w:val="20"/>
          <w:color w:val="2D2D2D"/>
        </w:rPr>
        <w:t>respective</w:t>
      </w:r>
      <w:r>
        <w:rPr>
          <w:rFonts w:ascii="Times New Roman" w:cs="Times New Roman" w:eastAsia="Times New Roman" w:hAnsi="Times New Roman"/>
          <w:sz w:val="20"/>
          <w:szCs w:val="20"/>
          <w:color w:val="3D3D3D"/>
        </w:rPr>
        <w:t xml:space="preserve"> agents and advisors were active in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negotiation and drafting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te</w:t>
      </w:r>
      <w:r>
        <w:rPr>
          <w:rFonts w:ascii="Times New Roman" w:cs="Times New Roman" w:eastAsia="Times New Roman" w:hAnsi="Times New Roman"/>
          <w:sz w:val="20"/>
          <w:szCs w:val="20"/>
          <w:color w:val="4F4F4F"/>
        </w:rPr>
        <w:t>rms</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D3D3D"/>
        </w:rPr>
        <w:t>of</w:t>
      </w:r>
      <w:r>
        <w:rPr>
          <w:rFonts w:ascii="Times New Roman" w:cs="Times New Roman" w:eastAsia="Times New Roman" w:hAnsi="Times New Roman"/>
          <w:sz w:val="20"/>
          <w:szCs w:val="20"/>
          <w:color w:val="2D2D2D"/>
        </w:rPr>
        <w:t xml:space="preserve"> this Agreement.</w:t>
      </w:r>
    </w:p>
    <w:p>
      <w:pPr>
        <w:spacing w:after="0" w:line="194" w:lineRule="exact"/>
        <w:rPr>
          <w:rFonts w:ascii="Times New Roman" w:cs="Times New Roman" w:eastAsia="Times New Roman" w:hAnsi="Times New Roman"/>
          <w:sz w:val="20"/>
          <w:szCs w:val="20"/>
          <w:color w:val="auto"/>
        </w:rPr>
      </w:pPr>
    </w:p>
    <w:p>
      <w:pPr>
        <w:ind w:left="-644" w:right="260" w:firstLine="644"/>
        <w:spacing w:after="0" w:line="311" w:lineRule="auto"/>
        <w:tabs>
          <w:tab w:leader="none" w:pos="89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3D3D3D"/>
        </w:rPr>
        <w:t>GOVERNING LAW. The validity, construction and enforcement of this Agreement</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3D3D3D"/>
        </w:rPr>
        <w:t xml:space="preserve"> and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determination of the rights and duties of the parties hereto, shall </w:t>
      </w:r>
      <w:r>
        <w:rPr>
          <w:rFonts w:ascii="Times New Roman" w:cs="Times New Roman" w:eastAsia="Times New Roman" w:hAnsi="Times New Roman"/>
          <w:sz w:val="20"/>
          <w:szCs w:val="20"/>
          <w:color w:val="2D2D2D"/>
        </w:rPr>
        <w:t>be</w:t>
      </w:r>
      <w:r>
        <w:rPr>
          <w:rFonts w:ascii="Times New Roman" w:cs="Times New Roman" w:eastAsia="Times New Roman" w:hAnsi="Times New Roman"/>
          <w:sz w:val="20"/>
          <w:szCs w:val="20"/>
          <w:color w:val="3D3D3D"/>
        </w:rPr>
        <w:t xml:space="preserve"> governed by </w:t>
      </w:r>
      <w:r>
        <w:rPr>
          <w:rFonts w:ascii="Times New Roman" w:cs="Times New Roman" w:eastAsia="Times New Roman" w:hAnsi="Times New Roman"/>
          <w:sz w:val="20"/>
          <w:szCs w:val="20"/>
          <w:color w:val="4F4F4F"/>
        </w:rPr>
        <w:t>the laws</w:t>
      </w:r>
      <w:r>
        <w:rPr>
          <w:rFonts w:ascii="Times New Roman" w:cs="Times New Roman" w:eastAsia="Times New Roman" w:hAnsi="Times New Roman"/>
          <w:sz w:val="20"/>
          <w:szCs w:val="20"/>
          <w:color w:val="3D3D3D"/>
        </w:rPr>
        <w:t xml:space="preserve"> of the State of Georgia.</w:t>
      </w:r>
    </w:p>
    <w:p>
      <w:pPr>
        <w:spacing w:after="0" w:line="173" w:lineRule="exact"/>
        <w:rPr>
          <w:rFonts w:ascii="Times New Roman" w:cs="Times New Roman" w:eastAsia="Times New Roman" w:hAnsi="Times New Roman"/>
          <w:sz w:val="20"/>
          <w:szCs w:val="20"/>
          <w:color w:val="auto"/>
        </w:rPr>
      </w:pPr>
    </w:p>
    <w:p>
      <w:pPr>
        <w:ind w:left="-644" w:right="20" w:firstLine="644"/>
        <w:spacing w:after="0" w:line="274" w:lineRule="auto"/>
        <w:tabs>
          <w:tab w:leader="none" w:pos="89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4F4F4F"/>
        </w:rPr>
        <w:t xml:space="preserve">DEFERRED </w:t>
      </w:r>
      <w:r>
        <w:rPr>
          <w:rFonts w:ascii="Times New Roman" w:cs="Times New Roman" w:eastAsia="Times New Roman" w:hAnsi="Times New Roman"/>
          <w:sz w:val="20"/>
          <w:szCs w:val="20"/>
          <w:color w:val="3D3D3D"/>
        </w:rPr>
        <w:t>COMPENSATION PLAN OMNIBUS PROVISIONS</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3D3D3D"/>
        </w:rPr>
        <w:t>Notwithstanding any other provision of this</w:t>
      </w:r>
      <w:r>
        <w:rPr>
          <w:rFonts w:ascii="Times New Roman" w:cs="Times New Roman" w:eastAsia="Times New Roman" w:hAnsi="Times New Roman"/>
          <w:sz w:val="20"/>
          <w:szCs w:val="20"/>
          <w:color w:val="4F4F4F"/>
        </w:rPr>
        <w:t xml:space="preserve"> Agreement, </w:t>
      </w:r>
      <w:r>
        <w:rPr>
          <w:rFonts w:ascii="Times New Roman" w:cs="Times New Roman" w:eastAsia="Times New Roman" w:hAnsi="Times New Roman"/>
          <w:sz w:val="20"/>
          <w:szCs w:val="20"/>
          <w:color w:val="626262"/>
        </w:rPr>
        <w:t>i</w:t>
      </w:r>
      <w:r>
        <w:rPr>
          <w:rFonts w:ascii="Times New Roman" w:cs="Times New Roman" w:eastAsia="Times New Roman" w:hAnsi="Times New Roman"/>
          <w:sz w:val="20"/>
          <w:szCs w:val="20"/>
          <w:color w:val="3D3D3D"/>
        </w:rPr>
        <w:t>t is intended that any payment or benefit which</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2D2D2D"/>
        </w:rPr>
        <w:t>is</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3D3D3D"/>
        </w:rPr>
        <w:t>provided pursuant to or</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2D2D2D"/>
        </w:rPr>
        <w:t>in</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3D3D3D"/>
        </w:rPr>
        <w:t>connection with this Agreement which</w:t>
      </w:r>
      <w:r>
        <w:rPr>
          <w:rFonts w:ascii="Times New Roman" w:cs="Times New Roman" w:eastAsia="Times New Roman" w:hAnsi="Times New Roman"/>
          <w:sz w:val="20"/>
          <w:szCs w:val="20"/>
          <w:color w:val="4F4F4F"/>
        </w:rPr>
        <w:t xml:space="preserve"> is co</w:t>
      </w:r>
      <w:r>
        <w:rPr>
          <w:rFonts w:ascii="Times New Roman" w:cs="Times New Roman" w:eastAsia="Times New Roman" w:hAnsi="Times New Roman"/>
          <w:sz w:val="20"/>
          <w:szCs w:val="20"/>
          <w:color w:val="2D2D2D"/>
        </w:rPr>
        <w:t>nside</w:t>
      </w:r>
      <w:r>
        <w:rPr>
          <w:rFonts w:ascii="Times New Roman" w:cs="Times New Roman" w:eastAsia="Times New Roman" w:hAnsi="Times New Roman"/>
          <w:sz w:val="20"/>
          <w:szCs w:val="20"/>
          <w:color w:val="4F4F4F"/>
        </w:rPr>
        <w:t xml:space="preserve">red </w:t>
      </w:r>
      <w:r>
        <w:rPr>
          <w:rFonts w:ascii="Times New Roman" w:cs="Times New Roman" w:eastAsia="Times New Roman" w:hAnsi="Times New Roman"/>
          <w:sz w:val="20"/>
          <w:szCs w:val="20"/>
          <w:color w:val="3D3D3D"/>
        </w:rPr>
        <w:t xml:space="preserve">to be deferred compensation subject to Section 409A of the </w:t>
      </w:r>
      <w:r>
        <w:rPr>
          <w:rFonts w:ascii="Times New Roman" w:cs="Times New Roman" w:eastAsia="Times New Roman" w:hAnsi="Times New Roman"/>
          <w:sz w:val="20"/>
          <w:szCs w:val="20"/>
          <w:color w:val="4F4F4F"/>
        </w:rPr>
        <w:t>Code</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shall</w:t>
      </w:r>
      <w:r>
        <w:rPr>
          <w:rFonts w:ascii="Times New Roman" w:cs="Times New Roman" w:eastAsia="Times New Roman" w:hAnsi="Times New Roman"/>
          <w:sz w:val="20"/>
          <w:szCs w:val="20"/>
          <w:color w:val="3D3D3D"/>
        </w:rPr>
        <w:t xml:space="preserve"> be provided and paid </w:t>
      </w:r>
      <w:r>
        <w:rPr>
          <w:rFonts w:ascii="Times New Roman" w:cs="Times New Roman" w:eastAsia="Times New Roman" w:hAnsi="Times New Roman"/>
          <w:sz w:val="20"/>
          <w:szCs w:val="20"/>
          <w:color w:val="4F4F4F"/>
        </w:rPr>
        <w:t>i</w:t>
      </w:r>
      <w:r>
        <w:rPr>
          <w:rFonts w:ascii="Times New Roman" w:cs="Times New Roman" w:eastAsia="Times New Roman" w:hAnsi="Times New Roman"/>
          <w:sz w:val="20"/>
          <w:szCs w:val="20"/>
          <w:color w:val="2D2D2D"/>
        </w:rPr>
        <w:t>n</w:t>
      </w:r>
      <w:r>
        <w:rPr>
          <w:rFonts w:ascii="Times New Roman" w:cs="Times New Roman" w:eastAsia="Times New Roman" w:hAnsi="Times New Roman"/>
          <w:sz w:val="20"/>
          <w:szCs w:val="20"/>
          <w:color w:val="3D3D3D"/>
        </w:rPr>
        <w:t xml:space="preserve"> a manner, and at such time, including without limitation </w:t>
      </w:r>
      <w:r>
        <w:rPr>
          <w:rFonts w:ascii="Times New Roman" w:cs="Times New Roman" w:eastAsia="Times New Roman" w:hAnsi="Times New Roman"/>
          <w:sz w:val="20"/>
          <w:szCs w:val="20"/>
          <w:color w:val="4F4F4F"/>
        </w:rPr>
        <w:t>payme</w:t>
      </w:r>
      <w:r>
        <w:rPr>
          <w:rFonts w:ascii="Times New Roman" w:cs="Times New Roman" w:eastAsia="Times New Roman" w:hAnsi="Times New Roman"/>
          <w:sz w:val="20"/>
          <w:szCs w:val="20"/>
          <w:color w:val="2D2D2D"/>
        </w:rPr>
        <w:t>n</w:t>
      </w:r>
      <w:r>
        <w:rPr>
          <w:rFonts w:ascii="Times New Roman" w:cs="Times New Roman" w:eastAsia="Times New Roman" w:hAnsi="Times New Roman"/>
          <w:sz w:val="20"/>
          <w:szCs w:val="20"/>
          <w:color w:val="4F4F4F"/>
        </w:rPr>
        <w:t>t</w:t>
      </w:r>
      <w:r>
        <w:rPr>
          <w:rFonts w:ascii="Times New Roman" w:cs="Times New Roman" w:eastAsia="Times New Roman" w:hAnsi="Times New Roman"/>
          <w:sz w:val="20"/>
          <w:szCs w:val="20"/>
          <w:color w:val="3D3D3D"/>
        </w:rPr>
        <w:t xml:space="preserve"> and </w:t>
      </w:r>
      <w:r>
        <w:rPr>
          <w:rFonts w:ascii="Times New Roman" w:cs="Times New Roman" w:eastAsia="Times New Roman" w:hAnsi="Times New Roman"/>
          <w:sz w:val="20"/>
          <w:szCs w:val="20"/>
          <w:color w:val="2D2D2D"/>
        </w:rPr>
        <w:t>pro</w:t>
      </w:r>
      <w:r>
        <w:rPr>
          <w:rFonts w:ascii="Times New Roman" w:cs="Times New Roman" w:eastAsia="Times New Roman" w:hAnsi="Times New Roman"/>
          <w:sz w:val="20"/>
          <w:szCs w:val="20"/>
          <w:color w:val="4F4F4F"/>
        </w:rPr>
        <w:t>v</w:t>
      </w:r>
      <w:r>
        <w:rPr>
          <w:rFonts w:ascii="Times New Roman" w:cs="Times New Roman" w:eastAsia="Times New Roman" w:hAnsi="Times New Roman"/>
          <w:sz w:val="20"/>
          <w:szCs w:val="20"/>
          <w:color w:val="2D2D2D"/>
        </w:rPr>
        <w:t>ision</w:t>
      </w:r>
      <w:r>
        <w:rPr>
          <w:rFonts w:ascii="Times New Roman" w:cs="Times New Roman" w:eastAsia="Times New Roman" w:hAnsi="Times New Roman"/>
          <w:sz w:val="20"/>
          <w:szCs w:val="20"/>
          <w:color w:val="3D3D3D"/>
        </w:rPr>
        <w:t xml:space="preserve"> of benefits only </w:t>
      </w:r>
      <w:r>
        <w:rPr>
          <w:rFonts w:ascii="Times New Roman" w:cs="Times New Roman" w:eastAsia="Times New Roman" w:hAnsi="Times New Roman"/>
          <w:sz w:val="20"/>
          <w:szCs w:val="20"/>
          <w:color w:val="2D2D2D"/>
        </w:rPr>
        <w:t>i</w:t>
      </w:r>
      <w:r>
        <w:rPr>
          <w:rFonts w:ascii="Times New Roman" w:cs="Times New Roman" w:eastAsia="Times New Roman" w:hAnsi="Times New Roman"/>
          <w:sz w:val="20"/>
          <w:szCs w:val="20"/>
          <w:color w:val="4F4F4F"/>
        </w:rPr>
        <w:t>n</w:t>
      </w:r>
      <w:r>
        <w:rPr>
          <w:rFonts w:ascii="Times New Roman" w:cs="Times New Roman" w:eastAsia="Times New Roman" w:hAnsi="Times New Roman"/>
          <w:sz w:val="20"/>
          <w:szCs w:val="20"/>
          <w:color w:val="3D3D3D"/>
        </w:rPr>
        <w:t xml:space="preserve"> connection with a permissible </w:t>
      </w:r>
      <w:r>
        <w:rPr>
          <w:rFonts w:ascii="Times New Roman" w:cs="Times New Roman" w:eastAsia="Times New Roman" w:hAnsi="Times New Roman"/>
          <w:sz w:val="20"/>
          <w:szCs w:val="20"/>
          <w:color w:val="2D2D2D"/>
        </w:rPr>
        <w:t>payment</w:t>
      </w:r>
      <w:r>
        <w:rPr>
          <w:rFonts w:ascii="Times New Roman" w:cs="Times New Roman" w:eastAsia="Times New Roman" w:hAnsi="Times New Roman"/>
          <w:sz w:val="20"/>
          <w:szCs w:val="20"/>
          <w:color w:val="3D3D3D"/>
        </w:rPr>
        <w:t xml:space="preserve"> event contained in </w:t>
      </w:r>
      <w:r>
        <w:rPr>
          <w:rFonts w:ascii="Times New Roman" w:cs="Times New Roman" w:eastAsia="Times New Roman" w:hAnsi="Times New Roman"/>
          <w:sz w:val="20"/>
          <w:szCs w:val="20"/>
          <w:color w:val="4F4F4F"/>
        </w:rPr>
        <w:t>Section</w:t>
      </w:r>
      <w:r>
        <w:rPr>
          <w:rFonts w:ascii="Times New Roman" w:cs="Times New Roman" w:eastAsia="Times New Roman" w:hAnsi="Times New Roman"/>
          <w:sz w:val="20"/>
          <w:szCs w:val="20"/>
          <w:color w:val="3D3D3D"/>
        </w:rPr>
        <w:t xml:space="preserve"> 409A (e.g., </w:t>
      </w:r>
      <w:r>
        <w:rPr>
          <w:rFonts w:ascii="Times New Roman" w:cs="Times New Roman" w:eastAsia="Times New Roman" w:hAnsi="Times New Roman"/>
          <w:sz w:val="20"/>
          <w:szCs w:val="20"/>
          <w:color w:val="4F4F4F"/>
        </w:rPr>
        <w:t>death</w:t>
      </w:r>
      <w:r>
        <w:rPr>
          <w:rFonts w:ascii="Times New Roman" w:cs="Times New Roman" w:eastAsia="Times New Roman" w:hAnsi="Times New Roman"/>
          <w:sz w:val="20"/>
          <w:szCs w:val="20"/>
          <w:color w:val="3D3D3D"/>
        </w:rPr>
        <w:t xml:space="preserve"> or separation from service </w:t>
      </w:r>
      <w:r>
        <w:rPr>
          <w:rFonts w:ascii="Times New Roman" w:cs="Times New Roman" w:eastAsia="Times New Roman" w:hAnsi="Times New Roman"/>
          <w:sz w:val="20"/>
          <w:szCs w:val="20"/>
          <w:color w:val="4F4F4F"/>
        </w:rPr>
        <w:t>from</w:t>
      </w:r>
      <w:r>
        <w:rPr>
          <w:rFonts w:ascii="Times New Roman" w:cs="Times New Roman" w:eastAsia="Times New Roman" w:hAnsi="Times New Roman"/>
          <w:sz w:val="20"/>
          <w:szCs w:val="20"/>
          <w:color w:val="3D3D3D"/>
        </w:rPr>
        <w:t xml:space="preserve"> the </w:t>
      </w:r>
      <w:r>
        <w:rPr>
          <w:rFonts w:ascii="Times New Roman" w:cs="Times New Roman" w:eastAsia="Times New Roman" w:hAnsi="Times New Roman"/>
          <w:sz w:val="20"/>
          <w:szCs w:val="20"/>
          <w:color w:val="4F4F4F"/>
        </w:rPr>
        <w:t>Company</w:t>
      </w:r>
      <w:r>
        <w:rPr>
          <w:rFonts w:ascii="Times New Roman" w:cs="Times New Roman" w:eastAsia="Times New Roman" w:hAnsi="Times New Roman"/>
          <w:sz w:val="20"/>
          <w:szCs w:val="20"/>
          <w:color w:val="3D3D3D"/>
        </w:rPr>
        <w:t xml:space="preserve"> and its affiliates as defined for purposes of </w:t>
      </w:r>
      <w:r>
        <w:rPr>
          <w:rFonts w:ascii="Times New Roman" w:cs="Times New Roman" w:eastAsia="Times New Roman" w:hAnsi="Times New Roman"/>
          <w:sz w:val="20"/>
          <w:szCs w:val="20"/>
          <w:color w:val="4F4F4F"/>
        </w:rPr>
        <w:t>Sect</w:t>
      </w:r>
      <w:r>
        <w:rPr>
          <w:rFonts w:ascii="Times New Roman" w:cs="Times New Roman" w:eastAsia="Times New Roman" w:hAnsi="Times New Roman"/>
          <w:sz w:val="20"/>
          <w:szCs w:val="20"/>
          <w:color w:val="2D2D2D"/>
        </w:rPr>
        <w:t>ion 409</w:t>
      </w:r>
      <w:r>
        <w:rPr>
          <w:rFonts w:ascii="Times New Roman" w:cs="Times New Roman" w:eastAsia="Times New Roman" w:hAnsi="Times New Roman"/>
          <w:sz w:val="20"/>
          <w:szCs w:val="20"/>
          <w:color w:val="3D3D3D"/>
        </w:rPr>
        <w:t xml:space="preserve">A of </w:t>
      </w:r>
      <w:r>
        <w:rPr>
          <w:rFonts w:ascii="Times New Roman" w:cs="Times New Roman" w:eastAsia="Times New Roman" w:hAnsi="Times New Roman"/>
          <w:sz w:val="20"/>
          <w:szCs w:val="20"/>
          <w:color w:val="4F4F4F"/>
        </w:rPr>
        <w:t>the</w:t>
      </w:r>
      <w:r>
        <w:rPr>
          <w:rFonts w:ascii="Times New Roman" w:cs="Times New Roman" w:eastAsia="Times New Roman" w:hAnsi="Times New Roman"/>
          <w:sz w:val="20"/>
          <w:szCs w:val="20"/>
          <w:color w:val="3D3D3D"/>
        </w:rPr>
        <w:t xml:space="preserve"> Code), </w:t>
      </w:r>
      <w:r>
        <w:rPr>
          <w:rFonts w:ascii="Times New Roman" w:cs="Times New Roman" w:eastAsia="Times New Roman" w:hAnsi="Times New Roman"/>
          <w:sz w:val="20"/>
          <w:szCs w:val="20"/>
          <w:color w:val="4F4F4F"/>
        </w:rPr>
        <w:t>a</w:t>
      </w:r>
      <w:r>
        <w:rPr>
          <w:rFonts w:ascii="Times New Roman" w:cs="Times New Roman" w:eastAsia="Times New Roman" w:hAnsi="Times New Roman"/>
          <w:sz w:val="20"/>
          <w:szCs w:val="20"/>
          <w:color w:val="2D2D2D"/>
        </w:rPr>
        <w:t>nd in</w:t>
      </w:r>
      <w:r>
        <w:rPr>
          <w:rFonts w:ascii="Times New Roman" w:cs="Times New Roman" w:eastAsia="Times New Roman" w:hAnsi="Times New Roman"/>
          <w:sz w:val="20"/>
          <w:szCs w:val="20"/>
          <w:color w:val="3D3D3D"/>
        </w:rPr>
        <w:t xml:space="preserve"> such form, as </w:t>
      </w:r>
      <w:r>
        <w:rPr>
          <w:rFonts w:ascii="Times New Roman" w:cs="Times New Roman" w:eastAsia="Times New Roman" w:hAnsi="Times New Roman"/>
          <w:sz w:val="20"/>
          <w:szCs w:val="20"/>
          <w:color w:val="4F4F4F"/>
        </w:rPr>
        <w:t xml:space="preserve">complies </w:t>
      </w:r>
      <w:r>
        <w:rPr>
          <w:rFonts w:ascii="Times New Roman" w:cs="Times New Roman" w:eastAsia="Times New Roman" w:hAnsi="Times New Roman"/>
          <w:sz w:val="20"/>
          <w:szCs w:val="20"/>
          <w:color w:val="3D3D3D"/>
        </w:rPr>
        <w:t>with the applicable</w:t>
      </w:r>
      <w:r>
        <w:rPr>
          <w:rFonts w:ascii="Times New Roman" w:cs="Times New Roman" w:eastAsia="Times New Roman" w:hAnsi="Times New Roman"/>
          <w:sz w:val="20"/>
          <w:szCs w:val="20"/>
          <w:color w:val="4F4F4F"/>
        </w:rPr>
        <w:t xml:space="preserve"> requiremen</w:t>
      </w:r>
      <w:r>
        <w:rPr>
          <w:rFonts w:ascii="Times New Roman" w:cs="Times New Roman" w:eastAsia="Times New Roman" w:hAnsi="Times New Roman"/>
          <w:sz w:val="20"/>
          <w:szCs w:val="20"/>
          <w:color w:val="2D2D2D"/>
        </w:rPr>
        <w:t>ts</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3D3D3D"/>
        </w:rPr>
        <w:t>of</w:t>
      </w:r>
      <w:r>
        <w:rPr>
          <w:rFonts w:ascii="Times New Roman" w:cs="Times New Roman" w:eastAsia="Times New Roman" w:hAnsi="Times New Roman"/>
          <w:sz w:val="20"/>
          <w:szCs w:val="20"/>
          <w:color w:val="4F4F4F"/>
        </w:rPr>
        <w:t xml:space="preserve"> Section </w:t>
      </w:r>
      <w:r>
        <w:rPr>
          <w:rFonts w:ascii="Times New Roman" w:cs="Times New Roman" w:eastAsia="Times New Roman" w:hAnsi="Times New Roman"/>
          <w:sz w:val="20"/>
          <w:szCs w:val="20"/>
          <w:color w:val="3D3D3D"/>
        </w:rPr>
        <w:t>409A of the Code, to avoid the unfavorable tax</w:t>
      </w:r>
      <w:r>
        <w:rPr>
          <w:rFonts w:ascii="Times New Roman" w:cs="Times New Roman" w:eastAsia="Times New Roman" w:hAnsi="Times New Roman"/>
          <w:sz w:val="20"/>
          <w:szCs w:val="20"/>
          <w:color w:val="4F4F4F"/>
        </w:rPr>
        <w:t xml:space="preserve"> co</w:t>
      </w:r>
      <w:r>
        <w:rPr>
          <w:rFonts w:ascii="Times New Roman" w:cs="Times New Roman" w:eastAsia="Times New Roman" w:hAnsi="Times New Roman"/>
          <w:sz w:val="20"/>
          <w:szCs w:val="20"/>
          <w:color w:val="2D2D2D"/>
        </w:rPr>
        <w:t>nseq</w:t>
      </w:r>
      <w:r>
        <w:rPr>
          <w:rFonts w:ascii="Times New Roman" w:cs="Times New Roman" w:eastAsia="Times New Roman" w:hAnsi="Times New Roman"/>
          <w:sz w:val="20"/>
          <w:szCs w:val="20"/>
          <w:color w:val="4F4F4F"/>
        </w:rPr>
        <w:t>uence</w:t>
      </w:r>
      <w:r>
        <w:rPr>
          <w:rFonts w:ascii="Times New Roman" w:cs="Times New Roman" w:eastAsia="Times New Roman" w:hAnsi="Times New Roman"/>
          <w:sz w:val="20"/>
          <w:szCs w:val="20"/>
          <w:color w:val="2D2D2D"/>
        </w:rPr>
        <w:t>s</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3D3D3D"/>
        </w:rPr>
        <w:t>provided therein</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2D2D2D"/>
        </w:rPr>
        <w:t>for</w:t>
      </w:r>
      <w:r>
        <w:rPr>
          <w:rFonts w:ascii="Times New Roman" w:cs="Times New Roman" w:eastAsia="Times New Roman" w:hAnsi="Times New Roman"/>
          <w:sz w:val="20"/>
          <w:szCs w:val="20"/>
          <w:color w:val="4F4F4F"/>
        </w:rPr>
        <w:t xml:space="preserve"> </w:t>
      </w:r>
      <w:r>
        <w:rPr>
          <w:rFonts w:ascii="Times New Roman" w:cs="Times New Roman" w:eastAsia="Times New Roman" w:hAnsi="Times New Roman"/>
          <w:sz w:val="20"/>
          <w:szCs w:val="20"/>
          <w:color w:val="3D3D3D"/>
        </w:rPr>
        <w:t>non-compliance</w:t>
      </w:r>
      <w:r>
        <w:rPr>
          <w:rFonts w:ascii="Times New Roman" w:cs="Times New Roman" w:eastAsia="Times New Roman" w:hAnsi="Times New Roman"/>
          <w:sz w:val="20"/>
          <w:szCs w:val="20"/>
          <w:color w:val="747474"/>
        </w:rPr>
        <w:t>.</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4F4F4F"/>
        </w:rPr>
        <w:t>For</w:t>
      </w:r>
      <w:r>
        <w:rPr>
          <w:rFonts w:ascii="Times New Roman" w:cs="Times New Roman" w:eastAsia="Times New Roman" w:hAnsi="Times New Roman"/>
          <w:sz w:val="20"/>
          <w:szCs w:val="20"/>
          <w:color w:val="3D3D3D"/>
        </w:rPr>
        <w:t xml:space="preserve"> purposes of this </w:t>
      </w:r>
      <w:r>
        <w:rPr>
          <w:rFonts w:ascii="Times New Roman" w:cs="Times New Roman" w:eastAsia="Times New Roman" w:hAnsi="Times New Roman"/>
          <w:sz w:val="20"/>
          <w:szCs w:val="20"/>
          <w:color w:val="4F4F4F"/>
        </w:rPr>
        <w:t>Agreement,</w:t>
      </w:r>
      <w:r>
        <w:rPr>
          <w:rFonts w:ascii="Times New Roman" w:cs="Times New Roman" w:eastAsia="Times New Roman" w:hAnsi="Times New Roman"/>
          <w:sz w:val="20"/>
          <w:szCs w:val="20"/>
          <w:color w:val="3D3D3D"/>
        </w:rPr>
        <w:t xml:space="preserve"> all </w:t>
      </w:r>
      <w:r>
        <w:rPr>
          <w:rFonts w:ascii="Times New Roman" w:cs="Times New Roman" w:eastAsia="Times New Roman" w:hAnsi="Times New Roman"/>
          <w:sz w:val="20"/>
          <w:szCs w:val="20"/>
          <w:color w:val="2D2D2D"/>
        </w:rPr>
        <w:t>r</w:t>
      </w:r>
      <w:r>
        <w:rPr>
          <w:rFonts w:ascii="Times New Roman" w:cs="Times New Roman" w:eastAsia="Times New Roman" w:hAnsi="Times New Roman"/>
          <w:sz w:val="20"/>
          <w:szCs w:val="20"/>
          <w:color w:val="4F4F4F"/>
        </w:rPr>
        <w:t>i</w:t>
      </w:r>
      <w:r>
        <w:rPr>
          <w:rFonts w:ascii="Times New Roman" w:cs="Times New Roman" w:eastAsia="Times New Roman" w:hAnsi="Times New Roman"/>
          <w:sz w:val="20"/>
          <w:szCs w:val="20"/>
          <w:color w:val="2D2D2D"/>
        </w:rPr>
        <w:t>ghts</w:t>
      </w:r>
      <w:r>
        <w:rPr>
          <w:rFonts w:ascii="Times New Roman" w:cs="Times New Roman" w:eastAsia="Times New Roman" w:hAnsi="Times New Roman"/>
          <w:sz w:val="20"/>
          <w:szCs w:val="20"/>
          <w:color w:val="3D3D3D"/>
        </w:rPr>
        <w:t xml:space="preserve"> to payments and </w:t>
      </w:r>
      <w:r>
        <w:rPr>
          <w:rFonts w:ascii="Times New Roman" w:cs="Times New Roman" w:eastAsia="Times New Roman" w:hAnsi="Times New Roman"/>
          <w:sz w:val="20"/>
          <w:szCs w:val="20"/>
          <w:color w:val="4F4F4F"/>
        </w:rPr>
        <w:t>benefits</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hereund</w:t>
      </w:r>
      <w:r>
        <w:rPr>
          <w:rFonts w:ascii="Times New Roman" w:cs="Times New Roman" w:eastAsia="Times New Roman" w:hAnsi="Times New Roman"/>
          <w:sz w:val="20"/>
          <w:szCs w:val="20"/>
          <w:color w:val="4F4F4F"/>
        </w:rPr>
        <w:t>er</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s</w:t>
      </w:r>
      <w:r>
        <w:rPr>
          <w:rFonts w:ascii="Times New Roman" w:cs="Times New Roman" w:eastAsia="Times New Roman" w:hAnsi="Times New Roman"/>
          <w:sz w:val="20"/>
          <w:szCs w:val="20"/>
          <w:color w:val="4F4F4F"/>
        </w:rPr>
        <w:t>hall</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D2D2D"/>
        </w:rPr>
        <w:t>be</w:t>
      </w:r>
      <w:r>
        <w:rPr>
          <w:rFonts w:ascii="Times New Roman" w:cs="Times New Roman" w:eastAsia="Times New Roman" w:hAnsi="Times New Roman"/>
          <w:sz w:val="20"/>
          <w:szCs w:val="20"/>
          <w:color w:val="3D3D3D"/>
        </w:rPr>
        <w:t xml:space="preserve"> treated as rights to </w:t>
      </w:r>
      <w:r>
        <w:rPr>
          <w:rFonts w:ascii="Times New Roman" w:cs="Times New Roman" w:eastAsia="Times New Roman" w:hAnsi="Times New Roman"/>
          <w:sz w:val="20"/>
          <w:szCs w:val="20"/>
          <w:color w:val="4F4F4F"/>
        </w:rPr>
        <w:t>rece</w:t>
      </w:r>
      <w:r>
        <w:rPr>
          <w:rFonts w:ascii="Times New Roman" w:cs="Times New Roman" w:eastAsia="Times New Roman" w:hAnsi="Times New Roman"/>
          <w:sz w:val="20"/>
          <w:szCs w:val="20"/>
          <w:color w:val="2D2D2D"/>
        </w:rPr>
        <w:t>i</w:t>
      </w:r>
      <w:r>
        <w:rPr>
          <w:rFonts w:ascii="Times New Roman" w:cs="Times New Roman" w:eastAsia="Times New Roman" w:hAnsi="Times New Roman"/>
          <w:sz w:val="20"/>
          <w:szCs w:val="20"/>
          <w:color w:val="4F4F4F"/>
        </w:rPr>
        <w:t>ve</w:t>
      </w:r>
      <w:r>
        <w:rPr>
          <w:rFonts w:ascii="Times New Roman" w:cs="Times New Roman" w:eastAsia="Times New Roman" w:hAnsi="Times New Roman"/>
          <w:sz w:val="20"/>
          <w:szCs w:val="20"/>
          <w:color w:val="3D3D3D"/>
        </w:rPr>
        <w:t xml:space="preserve"> a series of separate payments and benefits </w:t>
      </w:r>
      <w:r>
        <w:rPr>
          <w:rFonts w:ascii="Times New Roman" w:cs="Times New Roman" w:eastAsia="Times New Roman" w:hAnsi="Times New Roman"/>
          <w:sz w:val="20"/>
          <w:szCs w:val="20"/>
          <w:color w:val="2D2D2D"/>
        </w:rPr>
        <w:t>to</w:t>
      </w:r>
      <w:r>
        <w:rPr>
          <w:rFonts w:ascii="Times New Roman" w:cs="Times New Roman" w:eastAsia="Times New Roman" w:hAnsi="Times New Roman"/>
          <w:sz w:val="20"/>
          <w:szCs w:val="20"/>
          <w:color w:val="3D3D3D"/>
        </w:rPr>
        <w:t xml:space="preserve"> the fullest extent allowed by Section 409A of </w:t>
      </w:r>
      <w:r>
        <w:rPr>
          <w:rFonts w:ascii="Times New Roman" w:cs="Times New Roman" w:eastAsia="Times New Roman" w:hAnsi="Times New Roman"/>
          <w:sz w:val="20"/>
          <w:szCs w:val="20"/>
          <w:color w:val="2D2D2D"/>
        </w:rPr>
        <w:t>the</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4F4F4F"/>
        </w:rPr>
        <w:t>Co</w:t>
      </w:r>
      <w:r>
        <w:rPr>
          <w:rFonts w:ascii="Times New Roman" w:cs="Times New Roman" w:eastAsia="Times New Roman" w:hAnsi="Times New Roman"/>
          <w:sz w:val="20"/>
          <w:szCs w:val="20"/>
          <w:color w:val="2D2D2D"/>
        </w:rPr>
        <w:t>de.</w:t>
      </w:r>
      <w:r>
        <w:rPr>
          <w:rFonts w:ascii="Times New Roman" w:cs="Times New Roman" w:eastAsia="Times New Roman" w:hAnsi="Times New Roman"/>
          <w:sz w:val="20"/>
          <w:szCs w:val="20"/>
          <w:color w:val="3D3D3D"/>
        </w:rPr>
        <w:t xml:space="preserve"> If Executive is a </w:t>
      </w:r>
      <w:r>
        <w:rPr>
          <w:rFonts w:ascii="Times New Roman" w:cs="Times New Roman" w:eastAsia="Times New Roman" w:hAnsi="Times New Roman"/>
          <w:sz w:val="20"/>
          <w:szCs w:val="20"/>
          <w:color w:val="626262"/>
        </w:rPr>
        <w:t>"</w:t>
      </w:r>
      <w:r>
        <w:rPr>
          <w:rFonts w:ascii="Times New Roman" w:cs="Times New Roman" w:eastAsia="Times New Roman" w:hAnsi="Times New Roman"/>
          <w:sz w:val="20"/>
          <w:szCs w:val="20"/>
          <w:color w:val="3D3D3D"/>
        </w:rPr>
        <w:t xml:space="preserve">specified employee" (as defined </w:t>
      </w:r>
      <w:r>
        <w:rPr>
          <w:rFonts w:ascii="Times New Roman" w:cs="Times New Roman" w:eastAsia="Times New Roman" w:hAnsi="Times New Roman"/>
          <w:sz w:val="20"/>
          <w:szCs w:val="20"/>
          <w:color w:val="2D2D2D"/>
        </w:rPr>
        <w:t xml:space="preserve">in </w:t>
      </w:r>
      <w:r>
        <w:rPr>
          <w:rFonts w:ascii="Times New Roman" w:cs="Times New Roman" w:eastAsia="Times New Roman" w:hAnsi="Times New Roman"/>
          <w:sz w:val="20"/>
          <w:szCs w:val="20"/>
          <w:color w:val="3D3D3D"/>
        </w:rPr>
        <w:t>Section</w:t>
      </w:r>
      <w:r>
        <w:rPr>
          <w:rFonts w:ascii="Times New Roman" w:cs="Times New Roman" w:eastAsia="Times New Roman" w:hAnsi="Times New Roman"/>
          <w:sz w:val="20"/>
          <w:szCs w:val="20"/>
          <w:color w:val="2D2D2D"/>
        </w:rPr>
        <w:t xml:space="preserve"> 409</w:t>
      </w:r>
      <w:r>
        <w:rPr>
          <w:rFonts w:ascii="Times New Roman" w:cs="Times New Roman" w:eastAsia="Times New Roman" w:hAnsi="Times New Roman"/>
          <w:sz w:val="20"/>
          <w:szCs w:val="20"/>
          <w:color w:val="4F4F4F"/>
        </w:rPr>
        <w:t>A</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D3D3D"/>
        </w:rPr>
        <w:t>of the Code) and any of</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4F4F4F"/>
        </w:rPr>
        <w:t>the Company's</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D3D3D"/>
        </w:rPr>
        <w:t>stock</w:t>
      </w:r>
      <w:r>
        <w:rPr>
          <w:rFonts w:ascii="Times New Roman" w:cs="Times New Roman" w:eastAsia="Times New Roman" w:hAnsi="Times New Roman"/>
          <w:sz w:val="20"/>
          <w:szCs w:val="20"/>
          <w:color w:val="2D2D2D"/>
        </w:rPr>
        <w:t xml:space="preserve"> is </w:t>
      </w:r>
      <w:r>
        <w:rPr>
          <w:rFonts w:ascii="Times New Roman" w:cs="Times New Roman" w:eastAsia="Times New Roman" w:hAnsi="Times New Roman"/>
          <w:sz w:val="20"/>
          <w:szCs w:val="20"/>
          <w:color w:val="3D3D3D"/>
        </w:rPr>
        <w:t>publicly traded on an</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4F4F4F"/>
        </w:rPr>
        <w:t>established</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3D3D3D"/>
        </w:rPr>
        <w:t>securities market or otherwise,</w:t>
      </w:r>
      <w:r>
        <w:rPr>
          <w:rFonts w:ascii="Times New Roman" w:cs="Times New Roman" w:eastAsia="Times New Roman" w:hAnsi="Times New Roman"/>
          <w:sz w:val="20"/>
          <w:szCs w:val="20"/>
          <w:color w:val="2D2D2D"/>
        </w:rPr>
        <w:t xml:space="preserve"> then </w:t>
      </w:r>
      <w:r>
        <w:rPr>
          <w:rFonts w:ascii="Times New Roman" w:cs="Times New Roman" w:eastAsia="Times New Roman" w:hAnsi="Times New Roman"/>
          <w:sz w:val="20"/>
          <w:szCs w:val="20"/>
          <w:color w:val="3D3D3D"/>
        </w:rPr>
        <w:t xml:space="preserve">payment of any amount or provision of any benefit under </w:t>
      </w:r>
      <w:r>
        <w:rPr>
          <w:rFonts w:ascii="Times New Roman" w:cs="Times New Roman" w:eastAsia="Times New Roman" w:hAnsi="Times New Roman"/>
          <w:sz w:val="20"/>
          <w:szCs w:val="20"/>
          <w:color w:val="2D2D2D"/>
        </w:rPr>
        <w:t>thi</w:t>
      </w:r>
      <w:r>
        <w:rPr>
          <w:rFonts w:ascii="Times New Roman" w:cs="Times New Roman" w:eastAsia="Times New Roman" w:hAnsi="Times New Roman"/>
          <w:sz w:val="20"/>
          <w:szCs w:val="20"/>
          <w:color w:val="4F4F4F"/>
        </w:rPr>
        <w:t>s</w:t>
      </w:r>
    </w:p>
    <w:p>
      <w:pPr>
        <w:sectPr>
          <w:pgSz w:w="11900" w:h="16838" w:orient="portrait"/>
          <w:cols w:equalWidth="0" w:num="1">
            <w:col w:w="10616"/>
          </w:cols>
          <w:pgMar w:left="1004" w:top="454" w:right="279" w:bottom="1440" w:gutter="0" w:footer="0" w:header="0"/>
        </w:sectPr>
      </w:pPr>
    </w:p>
    <w:bookmarkStart w:id="128" w:name="page129"/>
    <w:bookmarkEnd w:id="128"/>
    <w:p>
      <w:pPr>
        <w:spacing w:after="0" w:line="270" w:lineRule="auto"/>
        <w:rPr>
          <w:sz w:val="20"/>
          <w:szCs w:val="20"/>
          <w:color w:val="auto"/>
        </w:rPr>
      </w:pPr>
      <w:r>
        <w:rPr>
          <w:rFonts w:ascii="Times New Roman" w:cs="Times New Roman" w:eastAsia="Times New Roman" w:hAnsi="Times New Roman"/>
          <w:sz w:val="20"/>
          <w:szCs w:val="20"/>
          <w:color w:val="383838"/>
        </w:rPr>
        <w:t xml:space="preserve">Agreement which is considered </w:t>
      </w:r>
      <w:r>
        <w:rPr>
          <w:rFonts w:ascii="Times New Roman" w:cs="Times New Roman" w:eastAsia="Times New Roman" w:hAnsi="Times New Roman"/>
          <w:sz w:val="20"/>
          <w:szCs w:val="20"/>
          <w:color w:val="232323"/>
        </w:rPr>
        <w:t>to</w:t>
      </w:r>
      <w:r>
        <w:rPr>
          <w:rFonts w:ascii="Times New Roman" w:cs="Times New Roman" w:eastAsia="Times New Roman" w:hAnsi="Times New Roman"/>
          <w:sz w:val="20"/>
          <w:szCs w:val="20"/>
          <w:color w:val="383838"/>
        </w:rPr>
        <w:t xml:space="preserve"> be deferred compensation subject to Section </w:t>
      </w:r>
      <w:r>
        <w:rPr>
          <w:rFonts w:ascii="Times New Roman" w:cs="Times New Roman" w:eastAsia="Times New Roman" w:hAnsi="Times New Roman"/>
          <w:sz w:val="20"/>
          <w:szCs w:val="20"/>
          <w:color w:val="484848"/>
        </w:rPr>
        <w:t>409A</w:t>
      </w:r>
      <w:r>
        <w:rPr>
          <w:rFonts w:ascii="Times New Roman" w:cs="Times New Roman" w:eastAsia="Times New Roman" w:hAnsi="Times New Roman"/>
          <w:sz w:val="20"/>
          <w:szCs w:val="20"/>
          <w:color w:val="383838"/>
        </w:rPr>
        <w:t xml:space="preserve"> of the Code shall be deferred for six (6) </w:t>
      </w:r>
      <w:r>
        <w:rPr>
          <w:rFonts w:ascii="Times New Roman" w:cs="Times New Roman" w:eastAsia="Times New Roman" w:hAnsi="Times New Roman"/>
          <w:sz w:val="20"/>
          <w:szCs w:val="20"/>
          <w:color w:val="484848"/>
        </w:rPr>
        <w:t>month</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383838"/>
        </w:rPr>
        <w:t xml:space="preserve"> as required </w:t>
      </w:r>
      <w:r>
        <w:rPr>
          <w:rFonts w:ascii="Times New Roman" w:cs="Times New Roman" w:eastAsia="Times New Roman" w:hAnsi="Times New Roman"/>
          <w:sz w:val="20"/>
          <w:szCs w:val="20"/>
          <w:color w:val="484848"/>
        </w:rPr>
        <w:t>by</w:t>
      </w:r>
      <w:r>
        <w:rPr>
          <w:rFonts w:ascii="Times New Roman" w:cs="Times New Roman" w:eastAsia="Times New Roman" w:hAnsi="Times New Roman"/>
          <w:sz w:val="20"/>
          <w:szCs w:val="20"/>
          <w:color w:val="383838"/>
        </w:rPr>
        <w:t xml:space="preserve"> Section 409A(a)(2)(B)(i) of the Code (the </w:t>
      </w:r>
      <w:r>
        <w:rPr>
          <w:rFonts w:ascii="Times New Roman" w:cs="Times New Roman" w:eastAsia="Times New Roman" w:hAnsi="Times New Roman"/>
          <w:sz w:val="20"/>
          <w:szCs w:val="20"/>
          <w:color w:val="484848"/>
        </w:rPr>
        <w:t>"409A</w:t>
      </w:r>
      <w:r>
        <w:rPr>
          <w:rFonts w:ascii="Times New Roman" w:cs="Times New Roman" w:eastAsia="Times New Roman" w:hAnsi="Times New Roman"/>
          <w:sz w:val="20"/>
          <w:szCs w:val="20"/>
          <w:color w:val="383838"/>
        </w:rPr>
        <w:t xml:space="preserve"> Deferral Period"). In the </w:t>
      </w:r>
      <w:r>
        <w:rPr>
          <w:rFonts w:ascii="Times New Roman" w:cs="Times New Roman" w:eastAsia="Times New Roman" w:hAnsi="Times New Roman"/>
          <w:sz w:val="20"/>
          <w:szCs w:val="20"/>
          <w:color w:val="484848"/>
        </w:rPr>
        <w:t>eve</w:t>
      </w:r>
      <w:r>
        <w:rPr>
          <w:rFonts w:ascii="Times New Roman" w:cs="Times New Roman" w:eastAsia="Times New Roman" w:hAnsi="Times New Roman"/>
          <w:sz w:val="20"/>
          <w:szCs w:val="20"/>
          <w:color w:val="232323"/>
        </w:rPr>
        <w:t>nt</w:t>
      </w:r>
      <w:r>
        <w:rPr>
          <w:rFonts w:ascii="Times New Roman" w:cs="Times New Roman" w:eastAsia="Times New Roman" w:hAnsi="Times New Roman"/>
          <w:sz w:val="20"/>
          <w:szCs w:val="20"/>
          <w:color w:val="383838"/>
        </w:rPr>
        <w:t xml:space="preserve"> such payments are otherwise due </w:t>
      </w:r>
      <w:r>
        <w:rPr>
          <w:rFonts w:ascii="Times New Roman" w:cs="Times New Roman" w:eastAsia="Times New Roman" w:hAnsi="Times New Roman"/>
          <w:sz w:val="20"/>
          <w:szCs w:val="20"/>
          <w:color w:val="484848"/>
        </w:rPr>
        <w:t>to</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232323"/>
        </w:rPr>
        <w:t>be</w:t>
      </w:r>
      <w:r>
        <w:rPr>
          <w:rFonts w:ascii="Times New Roman" w:cs="Times New Roman" w:eastAsia="Times New Roman" w:hAnsi="Times New Roman"/>
          <w:sz w:val="20"/>
          <w:szCs w:val="20"/>
          <w:color w:val="383838"/>
        </w:rPr>
        <w:t xml:space="preserve"> made in </w:t>
      </w:r>
      <w:r>
        <w:rPr>
          <w:rFonts w:ascii="Times New Roman" w:cs="Times New Roman" w:eastAsia="Times New Roman" w:hAnsi="Times New Roman"/>
          <w:sz w:val="20"/>
          <w:szCs w:val="20"/>
          <w:color w:val="484848"/>
        </w:rPr>
        <w:t>installment</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383838"/>
        </w:rPr>
        <w:t>or periodically during</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232323"/>
        </w:rPr>
        <w:t>the 409A</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383838"/>
        </w:rPr>
        <w:t>Deferral</w:t>
      </w:r>
      <w:r>
        <w:rPr>
          <w:rFonts w:ascii="Times New Roman" w:cs="Times New Roman" w:eastAsia="Times New Roman" w:hAnsi="Times New Roman"/>
          <w:sz w:val="20"/>
          <w:szCs w:val="20"/>
          <w:color w:val="484848"/>
        </w:rPr>
        <w:t xml:space="preserve"> Period, </w:t>
      </w:r>
      <w:r>
        <w:rPr>
          <w:rFonts w:ascii="Times New Roman" w:cs="Times New Roman" w:eastAsia="Times New Roman" w:hAnsi="Times New Roman"/>
          <w:sz w:val="20"/>
          <w:szCs w:val="20"/>
          <w:color w:val="383838"/>
        </w:rPr>
        <w:t>the payments</w:t>
      </w:r>
      <w:r>
        <w:rPr>
          <w:rFonts w:ascii="Times New Roman" w:cs="Times New Roman" w:eastAsia="Times New Roman" w:hAnsi="Times New Roman"/>
          <w:sz w:val="20"/>
          <w:szCs w:val="20"/>
          <w:color w:val="484848"/>
        </w:rPr>
        <w:t xml:space="preserve"> which </w:t>
      </w:r>
      <w:r>
        <w:rPr>
          <w:rFonts w:ascii="Times New Roman" w:cs="Times New Roman" w:eastAsia="Times New Roman" w:hAnsi="Times New Roman"/>
          <w:sz w:val="20"/>
          <w:szCs w:val="20"/>
          <w:color w:val="383838"/>
        </w:rPr>
        <w:t>would otherwise have been made in the</w:t>
      </w:r>
      <w:r>
        <w:rPr>
          <w:rFonts w:ascii="Times New Roman" w:cs="Times New Roman" w:eastAsia="Times New Roman" w:hAnsi="Times New Roman"/>
          <w:sz w:val="20"/>
          <w:szCs w:val="20"/>
          <w:color w:val="484848"/>
        </w:rPr>
        <w:t xml:space="preserve"> 409</w:t>
      </w:r>
      <w:r>
        <w:rPr>
          <w:rFonts w:ascii="Times New Roman" w:cs="Times New Roman" w:eastAsia="Times New Roman" w:hAnsi="Times New Roman"/>
          <w:sz w:val="20"/>
          <w:szCs w:val="20"/>
          <w:color w:val="383838"/>
        </w:rPr>
        <w:t>A Deferral</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383838"/>
        </w:rPr>
        <w:t xml:space="preserve">Period shall be accumulated and </w:t>
      </w:r>
      <w:r>
        <w:rPr>
          <w:rFonts w:ascii="Times New Roman" w:cs="Times New Roman" w:eastAsia="Times New Roman" w:hAnsi="Times New Roman"/>
          <w:sz w:val="20"/>
          <w:szCs w:val="20"/>
          <w:color w:val="484848"/>
        </w:rPr>
        <w:t>paid in</w:t>
      </w:r>
      <w:r>
        <w:rPr>
          <w:rFonts w:ascii="Times New Roman" w:cs="Times New Roman" w:eastAsia="Times New Roman" w:hAnsi="Times New Roman"/>
          <w:sz w:val="20"/>
          <w:szCs w:val="20"/>
          <w:color w:val="383838"/>
        </w:rPr>
        <w:t xml:space="preserve"> a lump sum as soon as </w:t>
      </w:r>
      <w:r>
        <w:rPr>
          <w:rFonts w:ascii="Times New Roman" w:cs="Times New Roman" w:eastAsia="Times New Roman" w:hAnsi="Times New Roman"/>
          <w:sz w:val="20"/>
          <w:szCs w:val="20"/>
          <w:color w:val="484848"/>
        </w:rPr>
        <w:t>the</w:t>
      </w:r>
      <w:r>
        <w:rPr>
          <w:rFonts w:ascii="Times New Roman" w:cs="Times New Roman" w:eastAsia="Times New Roman" w:hAnsi="Times New Roman"/>
          <w:sz w:val="20"/>
          <w:szCs w:val="20"/>
          <w:color w:val="383838"/>
        </w:rPr>
        <w:t xml:space="preserve"> 409A Deferral </w:t>
      </w:r>
      <w:r>
        <w:rPr>
          <w:rFonts w:ascii="Times New Roman" w:cs="Times New Roman" w:eastAsia="Times New Roman" w:hAnsi="Times New Roman"/>
          <w:sz w:val="20"/>
          <w:szCs w:val="20"/>
          <w:color w:val="484848"/>
        </w:rPr>
        <w:t>Pe</w:t>
      </w:r>
      <w:r>
        <w:rPr>
          <w:rFonts w:ascii="Times New Roman" w:cs="Times New Roman" w:eastAsia="Times New Roman" w:hAnsi="Times New Roman"/>
          <w:sz w:val="20"/>
          <w:szCs w:val="20"/>
          <w:color w:val="232323"/>
        </w:rPr>
        <w:t>r</w:t>
      </w:r>
      <w:r>
        <w:rPr>
          <w:rFonts w:ascii="Times New Roman" w:cs="Times New Roman" w:eastAsia="Times New Roman" w:hAnsi="Times New Roman"/>
          <w:sz w:val="20"/>
          <w:szCs w:val="20"/>
          <w:color w:val="484848"/>
        </w:rPr>
        <w:t>iod</w:t>
      </w:r>
      <w:r>
        <w:rPr>
          <w:rFonts w:ascii="Times New Roman" w:cs="Times New Roman" w:eastAsia="Times New Roman" w:hAnsi="Times New Roman"/>
          <w:sz w:val="20"/>
          <w:szCs w:val="20"/>
          <w:color w:val="383838"/>
        </w:rPr>
        <w:t xml:space="preserve"> ends, and the balance of </w:t>
      </w:r>
      <w:r>
        <w:rPr>
          <w:rFonts w:ascii="Times New Roman" w:cs="Times New Roman" w:eastAsia="Times New Roman" w:hAnsi="Times New Roman"/>
          <w:sz w:val="20"/>
          <w:szCs w:val="20"/>
          <w:color w:val="484848"/>
        </w:rPr>
        <w:t>the</w:t>
      </w:r>
      <w:r>
        <w:rPr>
          <w:rFonts w:ascii="Times New Roman" w:cs="Times New Roman" w:eastAsia="Times New Roman" w:hAnsi="Times New Roman"/>
          <w:sz w:val="20"/>
          <w:szCs w:val="20"/>
          <w:color w:val="383838"/>
        </w:rPr>
        <w:t xml:space="preserve"> payments shall be made as otherwise scheduled. </w:t>
      </w:r>
      <w:r>
        <w:rPr>
          <w:rFonts w:ascii="Times New Roman" w:cs="Times New Roman" w:eastAsia="Times New Roman" w:hAnsi="Times New Roman"/>
          <w:sz w:val="20"/>
          <w:szCs w:val="20"/>
          <w:color w:val="484848"/>
        </w:rPr>
        <w:t>In the</w:t>
      </w:r>
      <w:r>
        <w:rPr>
          <w:rFonts w:ascii="Times New Roman" w:cs="Times New Roman" w:eastAsia="Times New Roman" w:hAnsi="Times New Roman"/>
          <w:sz w:val="20"/>
          <w:szCs w:val="20"/>
          <w:color w:val="383838"/>
        </w:rPr>
        <w:t xml:space="preserve"> event benefits are required to be deferred, any such </w:t>
      </w:r>
      <w:r>
        <w:rPr>
          <w:rFonts w:ascii="Times New Roman" w:cs="Times New Roman" w:eastAsia="Times New Roman" w:hAnsi="Times New Roman"/>
          <w:sz w:val="20"/>
          <w:szCs w:val="20"/>
          <w:color w:val="484848"/>
        </w:rPr>
        <w:t>benefit</w:t>
      </w:r>
      <w:r>
        <w:rPr>
          <w:rFonts w:ascii="Times New Roman" w:cs="Times New Roman" w:eastAsia="Times New Roman" w:hAnsi="Times New Roman"/>
          <w:sz w:val="20"/>
          <w:szCs w:val="20"/>
          <w:color w:val="383838"/>
        </w:rPr>
        <w:t xml:space="preserve"> may </w:t>
      </w:r>
      <w:r>
        <w:rPr>
          <w:rFonts w:ascii="Times New Roman" w:cs="Times New Roman" w:eastAsia="Times New Roman" w:hAnsi="Times New Roman"/>
          <w:sz w:val="20"/>
          <w:szCs w:val="20"/>
          <w:color w:val="484848"/>
        </w:rPr>
        <w:t>be</w:t>
      </w:r>
      <w:r>
        <w:rPr>
          <w:rFonts w:ascii="Times New Roman" w:cs="Times New Roman" w:eastAsia="Times New Roman" w:hAnsi="Times New Roman"/>
          <w:sz w:val="20"/>
          <w:szCs w:val="20"/>
          <w:color w:val="383838"/>
        </w:rPr>
        <w:t xml:space="preserve"> provided </w:t>
      </w:r>
      <w:r>
        <w:rPr>
          <w:rFonts w:ascii="Times New Roman" w:cs="Times New Roman" w:eastAsia="Times New Roman" w:hAnsi="Times New Roman"/>
          <w:sz w:val="20"/>
          <w:szCs w:val="20"/>
          <w:color w:val="484848"/>
        </w:rPr>
        <w:t>during the</w:t>
      </w:r>
      <w:r>
        <w:rPr>
          <w:rFonts w:ascii="Times New Roman" w:cs="Times New Roman" w:eastAsia="Times New Roman" w:hAnsi="Times New Roman"/>
          <w:sz w:val="20"/>
          <w:szCs w:val="20"/>
          <w:color w:val="383838"/>
        </w:rPr>
        <w:t xml:space="preserve"> 409A Deferral </w:t>
      </w:r>
      <w:r>
        <w:rPr>
          <w:rFonts w:ascii="Times New Roman" w:cs="Times New Roman" w:eastAsia="Times New Roman" w:hAnsi="Times New Roman"/>
          <w:sz w:val="20"/>
          <w:szCs w:val="20"/>
          <w:color w:val="484848"/>
        </w:rPr>
        <w:t>Period</w:t>
      </w:r>
      <w:r>
        <w:rPr>
          <w:rFonts w:ascii="Times New Roman" w:cs="Times New Roman" w:eastAsia="Times New Roman" w:hAnsi="Times New Roman"/>
          <w:sz w:val="20"/>
          <w:szCs w:val="20"/>
          <w:color w:val="383838"/>
        </w:rPr>
        <w:t xml:space="preserve"> at </w:t>
      </w:r>
      <w:r>
        <w:rPr>
          <w:rFonts w:ascii="Times New Roman" w:cs="Times New Roman" w:eastAsia="Times New Roman" w:hAnsi="Times New Roman"/>
          <w:sz w:val="20"/>
          <w:szCs w:val="20"/>
          <w:color w:val="484848"/>
        </w:rPr>
        <w:t>Execut</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484848"/>
        </w:rPr>
        <w:t xml:space="preserve">ve' s </w:t>
      </w:r>
      <w:r>
        <w:rPr>
          <w:rFonts w:ascii="Times New Roman" w:cs="Times New Roman" w:eastAsia="Times New Roman" w:hAnsi="Times New Roman"/>
          <w:sz w:val="20"/>
          <w:szCs w:val="20"/>
          <w:color w:val="383838"/>
        </w:rPr>
        <w:t>expense, with Executive having a right to reimbursement from the Company once</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383838"/>
        </w:rPr>
        <w:t>409</w:t>
      </w:r>
      <w:r>
        <w:rPr>
          <w:rFonts w:ascii="Times New Roman" w:cs="Times New Roman" w:eastAsia="Times New Roman" w:hAnsi="Times New Roman"/>
          <w:sz w:val="20"/>
          <w:szCs w:val="20"/>
          <w:color w:val="484848"/>
        </w:rPr>
        <w:t xml:space="preserve">A </w:t>
      </w:r>
      <w:r>
        <w:rPr>
          <w:rFonts w:ascii="Times New Roman" w:cs="Times New Roman" w:eastAsia="Times New Roman" w:hAnsi="Times New Roman"/>
          <w:sz w:val="20"/>
          <w:szCs w:val="20"/>
          <w:color w:val="383838"/>
        </w:rPr>
        <w:t>Deferral</w:t>
      </w:r>
      <w:r>
        <w:rPr>
          <w:rFonts w:ascii="Times New Roman" w:cs="Times New Roman" w:eastAsia="Times New Roman" w:hAnsi="Times New Roman"/>
          <w:sz w:val="20"/>
          <w:szCs w:val="20"/>
          <w:color w:val="484848"/>
        </w:rPr>
        <w:t xml:space="preserve"> Period </w:t>
      </w:r>
      <w:r>
        <w:rPr>
          <w:rFonts w:ascii="Times New Roman" w:cs="Times New Roman" w:eastAsia="Times New Roman" w:hAnsi="Times New Roman"/>
          <w:sz w:val="20"/>
          <w:szCs w:val="20"/>
          <w:color w:val="383838"/>
        </w:rPr>
        <w:t>ends, and</w:t>
      </w:r>
      <w:r>
        <w:rPr>
          <w:rFonts w:ascii="Times New Roman" w:cs="Times New Roman" w:eastAsia="Times New Roman" w:hAnsi="Times New Roman"/>
          <w:sz w:val="20"/>
          <w:szCs w:val="20"/>
          <w:color w:val="484848"/>
        </w:rPr>
        <w:t xml:space="preserve"> the balance </w:t>
      </w:r>
      <w:r>
        <w:rPr>
          <w:rFonts w:ascii="Times New Roman" w:cs="Times New Roman" w:eastAsia="Times New Roman" w:hAnsi="Times New Roman"/>
          <w:sz w:val="20"/>
          <w:szCs w:val="20"/>
          <w:color w:val="383838"/>
        </w:rPr>
        <w:t xml:space="preserve">of the benefits shall be </w:t>
      </w:r>
      <w:r>
        <w:rPr>
          <w:rFonts w:ascii="Times New Roman" w:cs="Times New Roman" w:eastAsia="Times New Roman" w:hAnsi="Times New Roman"/>
          <w:sz w:val="20"/>
          <w:szCs w:val="20"/>
          <w:color w:val="484848"/>
        </w:rPr>
        <w:t>provided</w:t>
      </w:r>
      <w:r>
        <w:rPr>
          <w:rFonts w:ascii="Times New Roman" w:cs="Times New Roman" w:eastAsia="Times New Roman" w:hAnsi="Times New Roman"/>
          <w:sz w:val="20"/>
          <w:szCs w:val="20"/>
          <w:color w:val="383838"/>
        </w:rPr>
        <w:t xml:space="preserve"> as otherwise scheduled</w:t>
      </w:r>
      <w:r>
        <w:rPr>
          <w:rFonts w:ascii="Times New Roman" w:cs="Times New Roman" w:eastAsia="Times New Roman" w:hAnsi="Times New Roman"/>
          <w:sz w:val="20"/>
          <w:szCs w:val="20"/>
          <w:color w:val="646464"/>
        </w:rPr>
        <w:t>.</w:t>
      </w:r>
      <w:r>
        <w:rPr>
          <w:rFonts w:ascii="Times New Roman" w:cs="Times New Roman" w:eastAsia="Times New Roman" w:hAnsi="Times New Roman"/>
          <w:sz w:val="20"/>
          <w:szCs w:val="20"/>
          <w:color w:val="383838"/>
        </w:rPr>
        <w:t xml:space="preserve"> For </w:t>
      </w:r>
      <w:r>
        <w:rPr>
          <w:rFonts w:ascii="Times New Roman" w:cs="Times New Roman" w:eastAsia="Times New Roman" w:hAnsi="Times New Roman"/>
          <w:sz w:val="20"/>
          <w:szCs w:val="20"/>
          <w:color w:val="232323"/>
        </w:rPr>
        <w:t>purposes</w:t>
      </w:r>
      <w:r>
        <w:rPr>
          <w:rFonts w:ascii="Times New Roman" w:cs="Times New Roman" w:eastAsia="Times New Roman" w:hAnsi="Times New Roman"/>
          <w:sz w:val="20"/>
          <w:szCs w:val="20"/>
          <w:color w:val="383838"/>
        </w:rPr>
        <w:t xml:space="preserve"> of </w:t>
      </w:r>
      <w:r>
        <w:rPr>
          <w:rFonts w:ascii="Times New Roman" w:cs="Times New Roman" w:eastAsia="Times New Roman" w:hAnsi="Times New Roman"/>
          <w:sz w:val="20"/>
          <w:szCs w:val="20"/>
          <w:color w:val="232323"/>
        </w:rPr>
        <w:t>this</w:t>
      </w:r>
      <w:r>
        <w:rPr>
          <w:rFonts w:ascii="Times New Roman" w:cs="Times New Roman" w:eastAsia="Times New Roman" w:hAnsi="Times New Roman"/>
          <w:sz w:val="20"/>
          <w:szCs w:val="20"/>
          <w:color w:val="383838"/>
        </w:rPr>
        <w:t xml:space="preserve"> Agreement, any termination of employment will be read to mean a "separation from service" within the meaning of Section 409A of the Code where it </w:t>
      </w:r>
      <w:r>
        <w:rPr>
          <w:rFonts w:ascii="Times New Roman" w:cs="Times New Roman" w:eastAsia="Times New Roman" w:hAnsi="Times New Roman"/>
          <w:sz w:val="20"/>
          <w:szCs w:val="20"/>
          <w:color w:val="484848"/>
        </w:rPr>
        <w:t>is reasonably</w:t>
      </w:r>
      <w:r>
        <w:rPr>
          <w:rFonts w:ascii="Times New Roman" w:cs="Times New Roman" w:eastAsia="Times New Roman" w:hAnsi="Times New Roman"/>
          <w:sz w:val="20"/>
          <w:szCs w:val="20"/>
          <w:color w:val="383838"/>
        </w:rPr>
        <w:t xml:space="preserve"> anticipated that no further </w:t>
      </w:r>
      <w:r>
        <w:rPr>
          <w:rFonts w:ascii="Times New Roman" w:cs="Times New Roman" w:eastAsia="Times New Roman" w:hAnsi="Times New Roman"/>
          <w:sz w:val="20"/>
          <w:szCs w:val="20"/>
          <w:color w:val="484848"/>
        </w:rPr>
        <w:t>services</w:t>
      </w:r>
      <w:r>
        <w:rPr>
          <w:rFonts w:ascii="Times New Roman" w:cs="Times New Roman" w:eastAsia="Times New Roman" w:hAnsi="Times New Roman"/>
          <w:sz w:val="20"/>
          <w:szCs w:val="20"/>
          <w:color w:val="383838"/>
        </w:rPr>
        <w:t xml:space="preserve"> would be performed after such date or that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84848"/>
        </w:rPr>
        <w:t>level</w:t>
      </w:r>
      <w:r>
        <w:rPr>
          <w:rFonts w:ascii="Times New Roman" w:cs="Times New Roman" w:eastAsia="Times New Roman" w:hAnsi="Times New Roman"/>
          <w:sz w:val="20"/>
          <w:szCs w:val="20"/>
          <w:color w:val="383838"/>
        </w:rPr>
        <w:t xml:space="preserve"> of bona fide services Executive would </w:t>
      </w:r>
      <w:r>
        <w:rPr>
          <w:rFonts w:ascii="Times New Roman" w:cs="Times New Roman" w:eastAsia="Times New Roman" w:hAnsi="Times New Roman"/>
          <w:sz w:val="20"/>
          <w:szCs w:val="20"/>
          <w:color w:val="484848"/>
        </w:rPr>
        <w:t>perform</w:t>
      </w:r>
      <w:r>
        <w:rPr>
          <w:rFonts w:ascii="Times New Roman" w:cs="Times New Roman" w:eastAsia="Times New Roman" w:hAnsi="Times New Roman"/>
          <w:sz w:val="20"/>
          <w:szCs w:val="20"/>
          <w:color w:val="383838"/>
        </w:rPr>
        <w:t xml:space="preserve"> after </w:t>
      </w:r>
      <w:r>
        <w:rPr>
          <w:rFonts w:ascii="Times New Roman" w:cs="Times New Roman" w:eastAsia="Times New Roman" w:hAnsi="Times New Roman"/>
          <w:sz w:val="20"/>
          <w:szCs w:val="20"/>
          <w:color w:val="232323"/>
        </w:rPr>
        <w:t>that</w:t>
      </w:r>
      <w:r>
        <w:rPr>
          <w:rFonts w:ascii="Times New Roman" w:cs="Times New Roman" w:eastAsia="Times New Roman" w:hAnsi="Times New Roman"/>
          <w:sz w:val="20"/>
          <w:szCs w:val="20"/>
          <w:color w:val="383838"/>
        </w:rPr>
        <w:t xml:space="preserve"> date </w:t>
      </w:r>
      <w:r>
        <w:rPr>
          <w:rFonts w:ascii="Times New Roman" w:cs="Times New Roman" w:eastAsia="Times New Roman" w:hAnsi="Times New Roman"/>
          <w:sz w:val="20"/>
          <w:szCs w:val="20"/>
          <w:color w:val="484848"/>
        </w:rPr>
        <w:t>(whether</w:t>
      </w:r>
      <w:r>
        <w:rPr>
          <w:rFonts w:ascii="Times New Roman" w:cs="Times New Roman" w:eastAsia="Times New Roman" w:hAnsi="Times New Roman"/>
          <w:sz w:val="20"/>
          <w:szCs w:val="20"/>
          <w:color w:val="383838"/>
        </w:rPr>
        <w:t xml:space="preserve"> as an employee or </w:t>
      </w:r>
      <w:r>
        <w:rPr>
          <w:rFonts w:ascii="Times New Roman" w:cs="Times New Roman" w:eastAsia="Times New Roman" w:hAnsi="Times New Roman"/>
          <w:sz w:val="20"/>
          <w:szCs w:val="20"/>
          <w:color w:val="484848"/>
        </w:rPr>
        <w:t>i</w:t>
      </w:r>
      <w:r>
        <w:rPr>
          <w:rFonts w:ascii="Times New Roman" w:cs="Times New Roman" w:eastAsia="Times New Roman" w:hAnsi="Times New Roman"/>
          <w:sz w:val="20"/>
          <w:szCs w:val="20"/>
          <w:color w:val="232323"/>
        </w:rPr>
        <w:t>ndepe</w:t>
      </w:r>
      <w:r>
        <w:rPr>
          <w:rFonts w:ascii="Times New Roman" w:cs="Times New Roman" w:eastAsia="Times New Roman" w:hAnsi="Times New Roman"/>
          <w:sz w:val="20"/>
          <w:szCs w:val="20"/>
          <w:color w:val="484848"/>
        </w:rPr>
        <w:t xml:space="preserve">ndent contractor) </w:t>
      </w:r>
      <w:r>
        <w:rPr>
          <w:rFonts w:ascii="Times New Roman" w:cs="Times New Roman" w:eastAsia="Times New Roman" w:hAnsi="Times New Roman"/>
          <w:sz w:val="20"/>
          <w:szCs w:val="20"/>
          <w:color w:val="383838"/>
        </w:rPr>
        <w:t>would permanently decrease to</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232323"/>
        </w:rPr>
        <w:t>less</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383838"/>
        </w:rPr>
        <w:t>than</w:t>
      </w:r>
      <w:r>
        <w:rPr>
          <w:rFonts w:ascii="Times New Roman" w:cs="Times New Roman" w:eastAsia="Times New Roman" w:hAnsi="Times New Roman"/>
          <w:sz w:val="20"/>
          <w:szCs w:val="20"/>
          <w:color w:val="484848"/>
        </w:rPr>
        <w:t xml:space="preserve"> fifty </w:t>
      </w:r>
      <w:r>
        <w:rPr>
          <w:rFonts w:ascii="Times New Roman" w:cs="Times New Roman" w:eastAsia="Times New Roman" w:hAnsi="Times New Roman"/>
          <w:sz w:val="20"/>
          <w:szCs w:val="20"/>
          <w:color w:val="383838"/>
        </w:rPr>
        <w:t>percent</w:t>
      </w:r>
      <w:r>
        <w:rPr>
          <w:rFonts w:ascii="Times New Roman" w:cs="Times New Roman" w:eastAsia="Times New Roman" w:hAnsi="Times New Roman"/>
          <w:sz w:val="20"/>
          <w:szCs w:val="20"/>
          <w:color w:val="484848"/>
        </w:rPr>
        <w:t xml:space="preserve"> (50%) </w:t>
      </w:r>
      <w:r>
        <w:rPr>
          <w:rFonts w:ascii="Times New Roman" w:cs="Times New Roman" w:eastAsia="Times New Roman" w:hAnsi="Times New Roman"/>
          <w:sz w:val="20"/>
          <w:szCs w:val="20"/>
          <w:color w:val="383838"/>
        </w:rPr>
        <w:t>of the average</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232323"/>
        </w:rPr>
        <w:t>level</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383838"/>
        </w:rPr>
        <w:t>of bona fide services performed over</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383838"/>
        </w:rPr>
        <w:t xml:space="preserve">the </w:t>
      </w:r>
      <w:r>
        <w:rPr>
          <w:rFonts w:ascii="Times New Roman" w:cs="Times New Roman" w:eastAsia="Times New Roman" w:hAnsi="Times New Roman"/>
          <w:sz w:val="20"/>
          <w:szCs w:val="20"/>
          <w:color w:val="484848"/>
        </w:rPr>
        <w:t>immediate</w:t>
      </w:r>
      <w:r>
        <w:rPr>
          <w:rFonts w:ascii="Times New Roman" w:cs="Times New Roman" w:eastAsia="Times New Roman" w:hAnsi="Times New Roman"/>
          <w:sz w:val="20"/>
          <w:szCs w:val="20"/>
          <w:color w:val="232323"/>
        </w:rPr>
        <w:t>l</w:t>
      </w:r>
      <w:r>
        <w:rPr>
          <w:rFonts w:ascii="Times New Roman" w:cs="Times New Roman" w:eastAsia="Times New Roman" w:hAnsi="Times New Roman"/>
          <w:sz w:val="20"/>
          <w:szCs w:val="20"/>
          <w:color w:val="484848"/>
        </w:rPr>
        <w:t>y</w:t>
      </w:r>
      <w:r>
        <w:rPr>
          <w:rFonts w:ascii="Times New Roman" w:cs="Times New Roman" w:eastAsia="Times New Roman" w:hAnsi="Times New Roman"/>
          <w:sz w:val="20"/>
          <w:szCs w:val="20"/>
          <w:color w:val="383838"/>
        </w:rPr>
        <w:t xml:space="preserve"> preceding thirty-six (36)</w:t>
      </w:r>
      <w:r>
        <w:rPr>
          <w:rFonts w:ascii="Times New Roman" w:cs="Times New Roman" w:eastAsia="Times New Roman" w:hAnsi="Times New Roman"/>
          <w:sz w:val="20"/>
          <w:szCs w:val="20"/>
          <w:color w:val="646464"/>
        </w:rPr>
        <w:t>-</w:t>
      </w:r>
      <w:r>
        <w:rPr>
          <w:rFonts w:ascii="Times New Roman" w:cs="Times New Roman" w:eastAsia="Times New Roman" w:hAnsi="Times New Roman"/>
          <w:sz w:val="20"/>
          <w:szCs w:val="20"/>
          <w:color w:val="383838"/>
        </w:rPr>
        <w:t>month period.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383838"/>
        </w:rPr>
        <w:t xml:space="preserve">IN WITNESS WHEREOF,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383838"/>
        </w:rPr>
        <w:t xml:space="preserve"> parties </w:t>
      </w:r>
      <w:r>
        <w:rPr>
          <w:rFonts w:ascii="Times New Roman" w:cs="Times New Roman" w:eastAsia="Times New Roman" w:hAnsi="Times New Roman"/>
          <w:sz w:val="20"/>
          <w:szCs w:val="20"/>
          <w:color w:val="484848"/>
        </w:rPr>
        <w:t>hereto</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232323"/>
        </w:rPr>
        <w:t>have</w:t>
      </w:r>
      <w:r>
        <w:rPr>
          <w:rFonts w:ascii="Times New Roman" w:cs="Times New Roman" w:eastAsia="Times New Roman" w:hAnsi="Times New Roman"/>
          <w:sz w:val="20"/>
          <w:szCs w:val="20"/>
          <w:color w:val="383838"/>
        </w:rPr>
        <w:t xml:space="preser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AGCO CORPORATION</w:t>
      </w:r>
    </w:p>
    <w:p>
      <w:pPr>
        <w:spacing w:after="0" w:line="387" w:lineRule="exact"/>
        <w:rPr>
          <w:sz w:val="20"/>
          <w:szCs w:val="20"/>
          <w:color w:val="auto"/>
        </w:rPr>
      </w:pPr>
    </w:p>
    <w:tbl>
      <w:tblPr>
        <w:tblLayout w:type="fixed"/>
        <w:tblInd w:w="62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Lucinda Smith</w:t>
            </w:r>
          </w:p>
        </w:tc>
      </w:tr>
      <w:tr>
        <w:trPr>
          <w:trHeight w:val="27"/>
        </w:trPr>
        <w:tc>
          <w:tcPr>
            <w:tcW w:w="8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56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Lucinda B. Smith</w:t>
            </w:r>
          </w:p>
        </w:tc>
      </w:tr>
      <w:tr>
        <w:trPr>
          <w:trHeight w:val="27"/>
        </w:trPr>
        <w:tc>
          <w:tcPr>
            <w:tcW w:w="8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56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Global Business Services</w:t>
            </w:r>
          </w:p>
        </w:tc>
      </w:tr>
      <w:tr>
        <w:trPr>
          <w:trHeight w:val="27"/>
        </w:trPr>
        <w:tc>
          <w:tcPr>
            <w:tcW w:w="8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561"/>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w:t>
            </w:r>
          </w:p>
        </w:tc>
      </w:tr>
      <w:tr>
        <w:trPr>
          <w:trHeight w:val="59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Eric Hansotia</w:t>
            </w:r>
          </w:p>
        </w:tc>
      </w:tr>
      <w:tr>
        <w:trPr>
          <w:trHeight w:val="27"/>
        </w:trPr>
        <w:tc>
          <w:tcPr>
            <w:tcW w:w="8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56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Hansotia</w:t>
            </w:r>
          </w:p>
        </w:tc>
      </w:tr>
      <w:tr>
        <w:trPr>
          <w:trHeight w:val="27"/>
        </w:trPr>
        <w:tc>
          <w:tcPr>
            <w:tcW w:w="8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542"/>
        </w:trPr>
        <w:tc>
          <w:tcPr>
            <w:tcW w:w="84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Global Harvesting and Advanced Technology</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Solutions</w:t>
            </w:r>
          </w:p>
        </w:tc>
      </w:tr>
      <w:tr>
        <w:trPr>
          <w:trHeight w:val="27"/>
        </w:trPr>
        <w:tc>
          <w:tcPr>
            <w:tcW w:w="8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60" w:top="427"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 G C O C O R P O R A T I O 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 - EMPLOYEE DIRECTORS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940" w:type="dxa"/>
            <w:vAlign w:val="bottom"/>
            <w:gridSpan w:val="3"/>
          </w:tcPr>
          <w:p>
            <w:pPr>
              <w:spacing w:after="0"/>
              <w:rPr>
                <w:sz w:val="20"/>
                <w:szCs w:val="20"/>
                <w:color w:val="auto"/>
              </w:rPr>
            </w:pPr>
            <w:r>
              <w:rPr>
                <w:rFonts w:ascii="Arial" w:cs="Arial" w:eastAsia="Arial" w:hAnsi="Arial"/>
                <w:sz w:val="22"/>
                <w:szCs w:val="22"/>
                <w:b w:val="1"/>
                <w:bCs w:val="1"/>
                <w:color w:val="auto"/>
              </w:rPr>
              <w:t>Retainers (1)</w:t>
            </w:r>
          </w:p>
        </w:tc>
        <w:tc>
          <w:tcPr>
            <w:tcW w:w="1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2"/>
                <w:szCs w:val="22"/>
                <w:b w:val="1"/>
                <w:bCs w:val="1"/>
                <w:color w:val="auto"/>
                <w:w w:val="94"/>
              </w:rPr>
              <w:t>USD</w:t>
            </w:r>
          </w:p>
        </w:tc>
      </w:tr>
      <w:tr>
        <w:trPr>
          <w:trHeight w:val="20"/>
        </w:trPr>
        <w:tc>
          <w:tcPr>
            <w:tcW w:w="1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631"/>
        </w:trPr>
        <w:tc>
          <w:tcPr>
            <w:tcW w:w="8940" w:type="dxa"/>
            <w:vAlign w:val="bottom"/>
            <w:gridSpan w:val="3"/>
          </w:tcPr>
          <w:p>
            <w:pPr>
              <w:spacing w:after="0"/>
              <w:rPr>
                <w:sz w:val="20"/>
                <w:szCs w:val="20"/>
                <w:color w:val="auto"/>
              </w:rPr>
            </w:pPr>
            <w:r>
              <w:rPr>
                <w:rFonts w:ascii="Arial" w:cs="Arial" w:eastAsia="Arial" w:hAnsi="Arial"/>
                <w:sz w:val="22"/>
                <w:szCs w:val="22"/>
                <w:color w:val="auto"/>
              </w:rPr>
              <w:t>Annual Lead Director Retainer (paid only to Lead Director):</w:t>
            </w:r>
          </w:p>
        </w:tc>
        <w:tc>
          <w:tcPr>
            <w:tcW w:w="2420" w:type="dxa"/>
            <w:vAlign w:val="bottom"/>
            <w:gridSpan w:val="2"/>
          </w:tcPr>
          <w:p>
            <w:pPr>
              <w:jc w:val="right"/>
              <w:spacing w:after="0"/>
              <w:rPr>
                <w:sz w:val="20"/>
                <w:szCs w:val="20"/>
                <w:color w:val="auto"/>
              </w:rPr>
            </w:pPr>
            <w:r>
              <w:rPr>
                <w:rFonts w:ascii="Arial" w:cs="Arial" w:eastAsia="Arial" w:hAnsi="Arial"/>
                <w:sz w:val="22"/>
                <w:szCs w:val="22"/>
                <w:color w:val="auto"/>
              </w:rPr>
              <w:t>30,000</w:t>
            </w:r>
          </w:p>
        </w:tc>
      </w:tr>
      <w:tr>
        <w:trPr>
          <w:trHeight w:val="594"/>
        </w:trPr>
        <w:tc>
          <w:tcPr>
            <w:tcW w:w="8940" w:type="dxa"/>
            <w:vAlign w:val="bottom"/>
            <w:gridSpan w:val="3"/>
          </w:tcPr>
          <w:p>
            <w:pPr>
              <w:spacing w:after="0"/>
              <w:rPr>
                <w:sz w:val="20"/>
                <w:szCs w:val="20"/>
                <w:color w:val="auto"/>
              </w:rPr>
            </w:pPr>
            <w:r>
              <w:rPr>
                <w:rFonts w:ascii="Arial" w:cs="Arial" w:eastAsia="Arial" w:hAnsi="Arial"/>
                <w:sz w:val="22"/>
                <w:szCs w:val="22"/>
                <w:color w:val="auto"/>
              </w:rPr>
              <w:t>Annual Director Base Retainer (applies to all Directors):</w:t>
            </w:r>
          </w:p>
        </w:tc>
        <w:tc>
          <w:tcPr>
            <w:tcW w:w="2420" w:type="dxa"/>
            <w:vAlign w:val="bottom"/>
            <w:gridSpan w:val="2"/>
          </w:tcPr>
          <w:p>
            <w:pPr>
              <w:jc w:val="right"/>
              <w:spacing w:after="0"/>
              <w:rPr>
                <w:sz w:val="20"/>
                <w:szCs w:val="20"/>
                <w:color w:val="auto"/>
              </w:rPr>
            </w:pPr>
            <w:r>
              <w:rPr>
                <w:rFonts w:ascii="Arial" w:cs="Arial" w:eastAsia="Arial" w:hAnsi="Arial"/>
                <w:sz w:val="22"/>
                <w:szCs w:val="22"/>
                <w:color w:val="auto"/>
              </w:rPr>
              <w:t>120,000</w:t>
            </w:r>
          </w:p>
        </w:tc>
      </w:tr>
      <w:tr>
        <w:trPr>
          <w:trHeight w:val="565"/>
        </w:trPr>
        <w:tc>
          <w:tcPr>
            <w:tcW w:w="8940" w:type="dxa"/>
            <w:vAlign w:val="bottom"/>
            <w:gridSpan w:val="3"/>
          </w:tcPr>
          <w:p>
            <w:pPr>
              <w:spacing w:after="0"/>
              <w:rPr>
                <w:sz w:val="20"/>
                <w:szCs w:val="20"/>
                <w:color w:val="auto"/>
              </w:rPr>
            </w:pPr>
            <w:r>
              <w:rPr>
                <w:rFonts w:ascii="Arial" w:cs="Arial" w:eastAsia="Arial" w:hAnsi="Arial"/>
                <w:sz w:val="22"/>
                <w:szCs w:val="22"/>
                <w:color w:val="auto"/>
              </w:rPr>
              <w:t>Annual Committee Chairperson Retainer:</w:t>
            </w:r>
          </w:p>
        </w:tc>
        <w:tc>
          <w:tcPr>
            <w:tcW w:w="2420" w:type="dxa"/>
            <w:vAlign w:val="bottom"/>
            <w:gridSpan w:val="2"/>
          </w:tcPr>
          <w:p>
            <w:pPr>
              <w:jc w:val="right"/>
              <w:spacing w:after="0"/>
              <w:rPr>
                <w:sz w:val="20"/>
                <w:szCs w:val="20"/>
                <w:color w:val="auto"/>
              </w:rPr>
            </w:pPr>
            <w:r>
              <w:rPr>
                <w:rFonts w:ascii="Arial" w:cs="Arial" w:eastAsia="Arial" w:hAnsi="Arial"/>
                <w:sz w:val="22"/>
                <w:szCs w:val="22"/>
                <w:color w:val="auto"/>
              </w:rPr>
              <w:t>15,000</w:t>
            </w:r>
          </w:p>
        </w:tc>
      </w:tr>
      <w:tr>
        <w:trPr>
          <w:trHeight w:val="194"/>
        </w:trPr>
        <w:tc>
          <w:tcPr>
            <w:tcW w:w="8940" w:type="dxa"/>
            <w:vAlign w:val="bottom"/>
            <w:gridSpan w:val="3"/>
          </w:tcPr>
          <w:p>
            <w:pPr>
              <w:spacing w:after="0"/>
              <w:rPr>
                <w:sz w:val="20"/>
                <w:szCs w:val="20"/>
                <w:color w:val="auto"/>
              </w:rPr>
            </w:pPr>
            <w:r>
              <w:rPr>
                <w:rFonts w:ascii="Arial" w:cs="Arial" w:eastAsia="Arial" w:hAnsi="Arial"/>
                <w:sz w:val="14"/>
                <w:szCs w:val="14"/>
                <w:color w:val="auto"/>
              </w:rPr>
              <w:t>(except Audit Committee and Compensation Committee Chair)</w:t>
            </w:r>
          </w:p>
        </w:tc>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591"/>
        </w:trPr>
        <w:tc>
          <w:tcPr>
            <w:tcW w:w="8940" w:type="dxa"/>
            <w:vAlign w:val="bottom"/>
            <w:gridSpan w:val="3"/>
          </w:tcPr>
          <w:p>
            <w:pPr>
              <w:spacing w:after="0"/>
              <w:rPr>
                <w:sz w:val="20"/>
                <w:szCs w:val="20"/>
                <w:color w:val="auto"/>
              </w:rPr>
            </w:pPr>
            <w:r>
              <w:rPr>
                <w:rFonts w:ascii="Arial" w:cs="Arial" w:eastAsia="Arial" w:hAnsi="Arial"/>
                <w:sz w:val="22"/>
                <w:szCs w:val="22"/>
                <w:color w:val="auto"/>
              </w:rPr>
              <w:t>Annual Audit Committee Chairperson Retainer:</w:t>
            </w:r>
          </w:p>
        </w:tc>
        <w:tc>
          <w:tcPr>
            <w:tcW w:w="2420" w:type="dxa"/>
            <w:vAlign w:val="bottom"/>
            <w:gridSpan w:val="2"/>
          </w:tcPr>
          <w:p>
            <w:pPr>
              <w:jc w:val="right"/>
              <w:spacing w:after="0"/>
              <w:rPr>
                <w:sz w:val="20"/>
                <w:szCs w:val="20"/>
                <w:color w:val="auto"/>
              </w:rPr>
            </w:pPr>
            <w:r>
              <w:rPr>
                <w:rFonts w:ascii="Arial" w:cs="Arial" w:eastAsia="Arial" w:hAnsi="Arial"/>
                <w:sz w:val="22"/>
                <w:szCs w:val="22"/>
                <w:color w:val="auto"/>
              </w:rPr>
              <w:t>25,000</w:t>
            </w:r>
          </w:p>
        </w:tc>
      </w:tr>
      <w:tr>
        <w:trPr>
          <w:trHeight w:val="594"/>
        </w:trPr>
        <w:tc>
          <w:tcPr>
            <w:tcW w:w="8940" w:type="dxa"/>
            <w:vAlign w:val="bottom"/>
            <w:gridSpan w:val="3"/>
          </w:tcPr>
          <w:p>
            <w:pPr>
              <w:spacing w:after="0"/>
              <w:rPr>
                <w:sz w:val="20"/>
                <w:szCs w:val="20"/>
                <w:color w:val="auto"/>
              </w:rPr>
            </w:pPr>
            <w:r>
              <w:rPr>
                <w:rFonts w:ascii="Arial" w:cs="Arial" w:eastAsia="Arial" w:hAnsi="Arial"/>
                <w:sz w:val="22"/>
                <w:szCs w:val="22"/>
                <w:color w:val="auto"/>
              </w:rPr>
              <w:t>Annual Compensation Committee Chairperson Retainer:</w:t>
            </w:r>
          </w:p>
        </w:tc>
        <w:tc>
          <w:tcPr>
            <w:tcW w:w="2420" w:type="dxa"/>
            <w:vAlign w:val="bottom"/>
            <w:gridSpan w:val="2"/>
          </w:tcPr>
          <w:p>
            <w:pPr>
              <w:jc w:val="right"/>
              <w:spacing w:after="0"/>
              <w:rPr>
                <w:sz w:val="20"/>
                <w:szCs w:val="20"/>
                <w:color w:val="auto"/>
              </w:rPr>
            </w:pPr>
            <w:r>
              <w:rPr>
                <w:rFonts w:ascii="Arial" w:cs="Arial" w:eastAsia="Arial" w:hAnsi="Arial"/>
                <w:sz w:val="22"/>
                <w:szCs w:val="22"/>
                <w:color w:val="auto"/>
              </w:rPr>
              <w:t>20,000</w:t>
            </w:r>
          </w:p>
        </w:tc>
      </w:tr>
      <w:tr>
        <w:trPr>
          <w:trHeight w:val="594"/>
        </w:trPr>
        <w:tc>
          <w:tcPr>
            <w:tcW w:w="8940" w:type="dxa"/>
            <w:vAlign w:val="bottom"/>
            <w:gridSpan w:val="3"/>
          </w:tcPr>
          <w:p>
            <w:pPr>
              <w:spacing w:after="0"/>
              <w:rPr>
                <w:sz w:val="20"/>
                <w:szCs w:val="20"/>
                <w:color w:val="auto"/>
              </w:rPr>
            </w:pPr>
            <w:r>
              <w:rPr>
                <w:rFonts w:ascii="Arial" w:cs="Arial" w:eastAsia="Arial" w:hAnsi="Arial"/>
                <w:sz w:val="22"/>
                <w:szCs w:val="22"/>
                <w:color w:val="auto"/>
              </w:rPr>
              <w:t>Additional Annual Retainer for Board Members serving on three committees:</w:t>
            </w:r>
          </w:p>
        </w:tc>
        <w:tc>
          <w:tcPr>
            <w:tcW w:w="2420" w:type="dxa"/>
            <w:vAlign w:val="bottom"/>
            <w:gridSpan w:val="2"/>
          </w:tcPr>
          <w:p>
            <w:pPr>
              <w:jc w:val="right"/>
              <w:spacing w:after="0"/>
              <w:rPr>
                <w:sz w:val="20"/>
                <w:szCs w:val="20"/>
                <w:color w:val="auto"/>
              </w:rPr>
            </w:pPr>
            <w:r>
              <w:rPr>
                <w:rFonts w:ascii="Arial" w:cs="Arial" w:eastAsia="Arial" w:hAnsi="Arial"/>
                <w:sz w:val="22"/>
                <w:szCs w:val="22"/>
                <w:color w:val="auto"/>
              </w:rPr>
              <w:t>6,000</w:t>
            </w:r>
          </w:p>
        </w:tc>
      </w:tr>
      <w:tr>
        <w:trPr>
          <w:trHeight w:val="53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Additional Compensation</w:t>
            </w:r>
          </w:p>
        </w:tc>
        <w:tc>
          <w:tcPr>
            <w:tcW w:w="6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641"/>
        </w:trPr>
        <w:tc>
          <w:tcPr>
            <w:tcW w:w="8940" w:type="dxa"/>
            <w:vAlign w:val="bottom"/>
            <w:gridSpan w:val="3"/>
          </w:tcPr>
          <w:p>
            <w:pPr>
              <w:spacing w:after="0"/>
              <w:rPr>
                <w:sz w:val="20"/>
                <w:szCs w:val="20"/>
                <w:color w:val="auto"/>
              </w:rPr>
            </w:pPr>
            <w:r>
              <w:rPr>
                <w:rFonts w:ascii="Arial" w:cs="Arial" w:eastAsia="Arial" w:hAnsi="Arial"/>
                <w:sz w:val="22"/>
                <w:szCs w:val="22"/>
                <w:color w:val="auto"/>
              </w:rPr>
              <w:t xml:space="preserve">Annual AGCO Stock Grant Award </w:t>
            </w:r>
            <w:r>
              <w:rPr>
                <w:rFonts w:ascii="Arial" w:cs="Arial" w:eastAsia="Arial" w:hAnsi="Arial"/>
                <w:sz w:val="22"/>
                <w:szCs w:val="22"/>
                <w:b w:val="1"/>
                <w:bCs w:val="1"/>
                <w:color w:val="auto"/>
              </w:rPr>
              <w:t>(2)</w:t>
            </w:r>
          </w:p>
        </w:tc>
        <w:tc>
          <w:tcPr>
            <w:tcW w:w="2420" w:type="dxa"/>
            <w:vAlign w:val="bottom"/>
            <w:gridSpan w:val="2"/>
          </w:tcPr>
          <w:p>
            <w:pPr>
              <w:jc w:val="right"/>
              <w:spacing w:after="0"/>
              <w:rPr>
                <w:sz w:val="20"/>
                <w:szCs w:val="20"/>
                <w:color w:val="auto"/>
              </w:rPr>
            </w:pPr>
            <w:r>
              <w:rPr>
                <w:rFonts w:ascii="Arial" w:cs="Arial" w:eastAsia="Arial" w:hAnsi="Arial"/>
                <w:sz w:val="22"/>
                <w:szCs w:val="22"/>
                <w:color w:val="auto"/>
              </w:rPr>
              <w:t>150,000</w:t>
            </w:r>
          </w:p>
        </w:tc>
      </w:tr>
    </w:tbl>
    <w:p>
      <w:pPr>
        <w:spacing w:after="0" w:line="200" w:lineRule="exact"/>
        <w:rPr>
          <w:sz w:val="20"/>
          <w:szCs w:val="20"/>
          <w:color w:val="auto"/>
        </w:rPr>
      </w:pPr>
    </w:p>
    <w:p>
      <w:pPr>
        <w:spacing w:after="0" w:line="293" w:lineRule="exact"/>
        <w:rPr>
          <w:sz w:val="20"/>
          <w:szCs w:val="20"/>
          <w:color w:val="auto"/>
        </w:rPr>
      </w:pPr>
    </w:p>
    <w:p>
      <w:pPr>
        <w:ind w:right="180"/>
        <w:spacing w:after="0" w:line="281" w:lineRule="auto"/>
        <w:rPr>
          <w:sz w:val="20"/>
          <w:szCs w:val="20"/>
          <w:color w:val="auto"/>
        </w:rPr>
      </w:pPr>
      <w:r>
        <w:rPr>
          <w:rFonts w:ascii="Arial" w:cs="Arial" w:eastAsia="Arial" w:hAnsi="Arial"/>
          <w:sz w:val="22"/>
          <w:szCs w:val="22"/>
          <w:color w:val="auto"/>
        </w:rPr>
        <w:t>In addition, the Company will reimburse directors for the reasonable out-of-pocket expense incurred in the attendance of the meeting.</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2</w:t>
      </w:r>
    </w:p>
    <w:p>
      <w:pPr>
        <w:sectPr>
          <w:pgSz w:w="11900" w:h="16838" w:orient="portrait"/>
          <w:cols w:equalWidth="0" w:num="1">
            <w:col w:w="11420"/>
          </w:cols>
          <w:pgMar w:left="240" w:top="117" w:right="239" w:bottom="1440" w:gutter="0" w:footer="0" w:header="0"/>
          <w:type w:val="continuous"/>
        </w:sectPr>
      </w:pPr>
    </w:p>
    <w:bookmarkStart w:id="130" w:name="page131"/>
    <w:bookmarkEnd w:id="130"/>
    <w:p>
      <w:pPr>
        <w:jc w:val="center"/>
        <w:ind w:right="-79"/>
        <w:spacing w:after="0"/>
        <w:rPr>
          <w:sz w:val="20"/>
          <w:szCs w:val="20"/>
          <w:color w:val="auto"/>
        </w:rPr>
      </w:pPr>
      <w:r>
        <w:rPr>
          <w:rFonts w:ascii="Arial" w:cs="Arial" w:eastAsia="Arial" w:hAnsi="Arial"/>
          <w:sz w:val="29"/>
          <w:szCs w:val="29"/>
          <w:b w:val="1"/>
          <w:bCs w:val="1"/>
          <w:color w:val="auto"/>
        </w:rPr>
        <w:t>A G C O C O R P O R A T I O N</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DIRECTOR COMPENSATION</w:t>
      </w:r>
    </w:p>
    <w:p>
      <w:pPr>
        <w:spacing w:after="0" w:line="4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for</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NON - EMPLOYEE DIRECTORS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Payments of annual retainers are made in accordance with the following provisions: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20" w:right="60" w:hanging="640"/>
        <w:spacing w:after="0" w:line="256" w:lineRule="auto"/>
        <w:tabs>
          <w:tab w:leader="none" w:pos="16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Annual Retainers are paid quarterly in four installments (for ease of calculation purposes quarters are divided into 90 days with a 360 day year).</w:t>
      </w:r>
    </w:p>
    <w:p>
      <w:pPr>
        <w:spacing w:after="0" w:line="2" w:lineRule="exact"/>
        <w:rPr>
          <w:sz w:val="20"/>
          <w:szCs w:val="20"/>
          <w:color w:val="auto"/>
        </w:rPr>
      </w:pPr>
    </w:p>
    <w:p>
      <w:pPr>
        <w:ind w:left="1620" w:right="900" w:hanging="640"/>
        <w:spacing w:after="0" w:line="243" w:lineRule="auto"/>
        <w:tabs>
          <w:tab w:leader="none" w:pos="16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Annual Retainers accrue as of the first day of each calendar quarter based on the Board and Committee Membership Roster in effect on that date.</w:t>
      </w:r>
    </w:p>
    <w:p>
      <w:pPr>
        <w:spacing w:after="0" w:line="1" w:lineRule="exact"/>
        <w:rPr>
          <w:sz w:val="20"/>
          <w:szCs w:val="20"/>
          <w:color w:val="auto"/>
        </w:rPr>
      </w:pPr>
    </w:p>
    <w:p>
      <w:pPr>
        <w:ind w:left="1620" w:right="680" w:hanging="640"/>
        <w:spacing w:after="0" w:line="247" w:lineRule="auto"/>
        <w:tabs>
          <w:tab w:leader="none" w:pos="16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Annual Retainers are paid in advance during the first month of the given calendar quarter (e.g., January for the first quarter).</w:t>
      </w:r>
    </w:p>
    <w:p>
      <w:pPr>
        <w:sectPr>
          <w:pgSz w:w="11900" w:h="16838" w:orient="portrait"/>
          <w:cols w:equalWidth="0" w:num="1">
            <w:col w:w="11360"/>
          </w:cols>
          <w:pgMar w:left="240" w:top="676" w:right="299" w:bottom="1440" w:gutter="0" w:footer="0" w:header="0"/>
        </w:sectPr>
      </w:pPr>
    </w:p>
    <w:p>
      <w:pPr>
        <w:spacing w:after="0" w:line="1" w:lineRule="exact"/>
        <w:rPr>
          <w:sz w:val="20"/>
          <w:szCs w:val="20"/>
          <w:color w:val="auto"/>
        </w:rPr>
      </w:pPr>
    </w:p>
    <w:p>
      <w:pPr>
        <w:ind w:left="9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br w:type="column"/>
      </w:r>
    </w:p>
    <w:p>
      <w:pPr>
        <w:ind w:right="700"/>
        <w:spacing w:after="0" w:line="243" w:lineRule="auto"/>
        <w:rPr>
          <w:sz w:val="20"/>
          <w:szCs w:val="20"/>
          <w:color w:val="auto"/>
        </w:rPr>
      </w:pPr>
      <w:r>
        <w:rPr>
          <w:rFonts w:ascii="Arial" w:cs="Arial" w:eastAsia="Arial" w:hAnsi="Arial"/>
          <w:sz w:val="22"/>
          <w:szCs w:val="22"/>
          <w:color w:val="auto"/>
        </w:rPr>
        <w:t>Changes to Board and Committee Memberships (including Chairpersons) will be reviewed and adjustments made to current quarter’s retainer amounts (up or down).</w:t>
      </w:r>
    </w:p>
    <w:p>
      <w:pPr>
        <w:spacing w:after="0" w:line="1" w:lineRule="exact"/>
        <w:rPr>
          <w:sz w:val="20"/>
          <w:szCs w:val="20"/>
          <w:color w:val="auto"/>
        </w:rPr>
      </w:pPr>
    </w:p>
    <w:p>
      <w:pPr>
        <w:sectPr>
          <w:pgSz w:w="11900" w:h="16838" w:orient="portrait"/>
          <w:cols w:equalWidth="0" w:num="2">
            <w:col w:w="1260" w:space="360"/>
            <w:col w:w="9740"/>
          </w:cols>
          <w:pgMar w:left="240" w:top="676" w:right="299" w:bottom="1440" w:gutter="0" w:footer="0" w:header="0"/>
          <w:type w:val="continuous"/>
        </w:sectPr>
      </w:pPr>
    </w:p>
    <w:p>
      <w:pPr>
        <w:ind w:left="1620" w:right="600" w:hanging="640"/>
        <w:spacing w:after="0" w:line="246" w:lineRule="auto"/>
        <w:tabs>
          <w:tab w:leader="none" w:pos="162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changes in the Retainer amounts due for the current quarter will be reflected in the ensuing quarter’s retainer payment.</w:t>
      </w:r>
    </w:p>
    <w:p>
      <w:pPr>
        <w:spacing w:after="0" w:line="200" w:lineRule="exact"/>
        <w:rPr>
          <w:rFonts w:ascii="Arial" w:cs="Arial" w:eastAsia="Arial" w:hAnsi="Arial"/>
          <w:sz w:val="22"/>
          <w:szCs w:val="22"/>
          <w:color w:val="auto"/>
        </w:rPr>
      </w:pPr>
    </w:p>
    <w:p>
      <w:pPr>
        <w:spacing w:after="0" w:line="270" w:lineRule="exact"/>
        <w:rPr>
          <w:rFonts w:ascii="Arial" w:cs="Arial" w:eastAsia="Arial" w:hAnsi="Arial"/>
          <w:sz w:val="22"/>
          <w:szCs w:val="22"/>
          <w:color w:val="auto"/>
        </w:rPr>
      </w:pPr>
    </w:p>
    <w:p>
      <w:pPr>
        <w:ind w:left="660" w:hanging="328"/>
        <w:spacing w:after="0" w:line="281" w:lineRule="auto"/>
        <w:tabs>
          <w:tab w:leader="none" w:pos="588" w:val="left"/>
        </w:tabs>
        <w:numPr>
          <w:ilvl w:val="0"/>
          <w:numId w:val="54"/>
        </w:numPr>
        <w:rPr>
          <w:rFonts w:ascii="Arial" w:cs="Arial" w:eastAsia="Arial" w:hAnsi="Arial"/>
          <w:sz w:val="22"/>
          <w:szCs w:val="22"/>
          <w:color w:val="auto"/>
        </w:rPr>
      </w:pPr>
      <w:r>
        <w:rPr>
          <w:rFonts w:ascii="Arial" w:cs="Arial" w:eastAsia="Arial" w:hAnsi="Arial"/>
          <w:sz w:val="22"/>
          <w:szCs w:val="22"/>
          <w:color w:val="auto"/>
        </w:rPr>
        <w:t>Terms applicable to the Stock Grant Award are defined in the Plan Document. The stock grant equivalent to USD 150,000 is based on closing price on the day of the Annual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2 of 2</w:t>
      </w:r>
    </w:p>
    <w:p>
      <w:pPr>
        <w:sectPr>
          <w:pgSz w:w="11900" w:h="16838" w:orient="portrait"/>
          <w:cols w:equalWidth="0" w:num="1">
            <w:col w:w="11360"/>
          </w:cols>
          <w:pgMar w:left="240" w:top="676" w:right="29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65"/>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AGCO CORP /DE</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3700" w:type="dxa"/>
            <w:vAlign w:val="bottom"/>
          </w:tcPr>
          <w:p>
            <w:pPr>
              <w:spacing w:after="0"/>
              <w:rPr>
                <w:sz w:val="23"/>
                <w:szCs w:val="23"/>
                <w:color w:val="auto"/>
              </w:rPr>
            </w:pPr>
          </w:p>
        </w:tc>
      </w:tr>
      <w:tr>
        <w:trPr>
          <w:trHeight w:val="450"/>
        </w:trPr>
        <w:tc>
          <w:tcPr>
            <w:tcW w:w="758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Country of</w:t>
            </w:r>
          </w:p>
        </w:tc>
      </w:tr>
      <w:tr>
        <w:trPr>
          <w:trHeight w:val="252"/>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Wholly Owned Subsidiaries of AGCO Corporation</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4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Argentina SA</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Argentina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Indamo SA</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Argentina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Australia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Sparex Australia PTY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Western District Agricentre Pty Limited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Austria GmbH</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Cimbria Heid GmbH</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Sparex Maschinensubehor Handelsgesellschaft m.b.H</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Sparex Belgium BVBA</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Belgium</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do Brasil Soluções Agrícolas Ltda</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GSI Brasil Industria e Comercio de Equipamentos Agropecuarios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Tecnoagro Maquinas Agrícolas Ltda</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Canada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GSI Electronique Inc</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Sparex Canada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Cimbria HMD SRO</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(Changzhou) Agricultural Machinery Co.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(Jining) Agricultural Machinery Co.,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(Daqing) Agricultural Machinery Co.,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Genpowex (Shanghai) Co.,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GSI (Changzhou) Agriculture Equipment Co.,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(China) Investment Co.,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Beijing AGCO Trading Co.,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 GSI Group (Shanghai) Co. Ltd</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A/S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Danmark A/S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A/S Cimbria</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Cimbria Unigrain A/S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Cimbria Manufacturing A/S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Sparex Limited ApS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XBA BidCo ApS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XBA FinCo ApS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XBA MidCo ApS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Power Oy</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Finland</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Suomi Oy</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Finland</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Valtra OY AB</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Finland</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Distribution SAS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France SAS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SAS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C-Lines International SAS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Sparex S.A.R.L.</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Deutschland GmbH</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Feucht GmbH</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GmbH</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AGCO Hohenmölsen GmbH</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bl>
    <w:p>
      <w:pPr>
        <w:sectPr>
          <w:pgSz w:w="11900" w:h="16838" w:orient="portrait"/>
          <w:cols w:equalWidth="0" w:num="1">
            <w:col w:w="11280"/>
          </w:cols>
          <w:pgMar w:left="340" w:top="1211" w:right="279" w:bottom="306"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Farmer Automatic GmbH &amp; Co. KG</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Farmer Automatic Management GmbH</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Fendt GmbH</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Fendt Immobilien GmbH</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Sparex Handels-Und Vertriebs GmbH</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Unterstutzungskasse der Fella-Werke Gesellschaft mit beschankter Haftung</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Valtra Deutschland GmbH</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Holdings (Hong Kong) Ltd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C-Lines Asia Limited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Manway Development Limited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Hungary Kft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Hungary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GSI Hungary Kft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Hungary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Trading (India) Private Ltd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Ireland Limited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Sparex (Tractor Accessories) Ltd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Italia SpA</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Cimbria Heid Italia SRL</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Cimbria SRL</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Farmec Srl</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Laverda AGCO SPA</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Tecno Poultry Equipment S.P.A.</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Cimbria East Africa Limited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Kenya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GSI Asia Sdn Bhd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GSI (Malaysia) Sdn. Bhd.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Cimbria Far East SDN. BHD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Cumberland Sales &amp; Services Sdn Bhd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MY C-Lines SDN BHD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Mexico S de RL de CV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GSI Cumberland De Mexico, S. De RL De CV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GSI Cumberland De Mexico Servicios, SA De CV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Impulsora Inqro S.A. de C.V.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Prestadora de Servicios Mexicana del Bajio, SA de CV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Sparex Mexicana S.A. de CV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Ag-Chem Europe Fertilizer Equipment BV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Ag-Chem Europe Industrial Equipment BV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Holding BV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International Holdings BV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Netherlands BV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Forage Company BV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Sparex Limited Vestiging Holland BV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Valtra International BV</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New Zealand Limited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Zealand</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Sparex New Zealand Ltd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Zealand</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Eikmaskin AS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Norway</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Sp Z.o.o</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Sparex Polska Sp. Z.o.o.</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Sparex Portugal Importacao e Comercio de Pecas Lda</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Portugal</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Valtractor Comercio de Tractores e Maquinas Agricolas SA</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Portugal</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LLC</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Cimbria LLC</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AGCO Holdings (Singapore) Pte. Ltd</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w:t>
            </w:r>
          </w:p>
        </w:tc>
      </w:tr>
    </w:tbl>
    <w:p>
      <w:pPr>
        <w:sectPr>
          <w:pgSz w:w="11900" w:h="16838" w:orient="portrait"/>
          <w:cols w:equalWidth="0" w:num="1">
            <w:col w:w="11280"/>
          </w:cols>
          <w:pgMar w:left="340" w:top="783" w:right="279" w:bottom="40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Holdings South Africa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South Africa</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South Africa Pty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South Africa</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C-Lines South Africa (Proprietary) Limited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South Africa</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Sparex (Proprietary)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South Africa</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Iberia SA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Sparex Agrirepuestos SL</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AB</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International GmbH</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Switzerland</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Tarim Makineleri Ticaret Ltd Sirketi</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Turkey</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Sparex Tarim Parca Sanayi Ve Ticaret Limited Sirketi</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Turkey</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Funding Company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International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Manufacturing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Pension Trust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Services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Cimbria Holdings Limited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Cimbria (UK) Limited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Massey Ferguson Staff Pension Trust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Massey Ferguson Works Pension Trust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Sparex Holdings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Sparex International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Sparex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Spenco Engineering Company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Assumption Leasing Company, Inc.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Export Market Services LLC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Intersystems Holdings, Inc.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Intersystems International LLC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Massey Ferguson Corp.</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Precision Planting LLC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Sparex, Inc.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GSI Group, LLC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Zambia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Zambia</w:t>
            </w:r>
          </w:p>
        </w:tc>
      </w:tr>
      <w:tr>
        <w:trPr>
          <w:trHeight w:val="47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 or Greater Joint Venture Interests of the Registrant</w:t>
            </w:r>
          </w:p>
        </w:tc>
        <w:tc>
          <w:tcPr>
            <w:tcW w:w="3840" w:type="dxa"/>
            <w:vAlign w:val="bottom"/>
          </w:tcPr>
          <w:p>
            <w:pPr>
              <w:spacing w:after="0"/>
              <w:rPr>
                <w:sz w:val="24"/>
                <w:szCs w:val="24"/>
                <w:color w:val="auto"/>
              </w:rPr>
            </w:pPr>
          </w:p>
        </w:tc>
      </w:tr>
      <w:tr>
        <w:trPr>
          <w:trHeight w:val="44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Deutz AGCO Motores SA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Argentina</w:t>
            </w:r>
          </w:p>
        </w:tc>
      </w:tr>
      <w:tr>
        <w:trPr>
          <w:trHeight w:val="27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CP GSI Machinery Co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8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Groupement International De Mecanique Agricole SA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AGCO-RM (Distribution) Holding BV</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Machinery LLC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r>
        <w:trPr>
          <w:trHeight w:val="27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 Amity JV, LLC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Intelligent Agricultural Solutions, LLC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USC LLC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47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Than 50% Joint Venture Interests of the Registrant</w:t>
            </w:r>
          </w:p>
        </w:tc>
        <w:tc>
          <w:tcPr>
            <w:tcW w:w="3840" w:type="dxa"/>
            <w:vAlign w:val="bottom"/>
          </w:tcPr>
          <w:p>
            <w:pPr>
              <w:spacing w:after="0"/>
              <w:rPr>
                <w:sz w:val="24"/>
                <w:szCs w:val="24"/>
                <w:color w:val="auto"/>
              </w:rPr>
            </w:pPr>
          </w:p>
        </w:tc>
      </w:tr>
      <w:tr>
        <w:trPr>
          <w:trHeight w:val="47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Algerian Tractor Company Spa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Algeria</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Capital Argentina SA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Argentina</w:t>
            </w:r>
          </w:p>
        </w:tc>
      </w:tr>
      <w:tr>
        <w:trPr>
          <w:trHeight w:val="27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PTY Ltd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GmbH, Landmaschinen Leasing</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NV</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Belgium</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Banco De Lage Landen Brasil S.A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 Lage Landen Participacoes Ltda (dbaAgricredit do Brasil Ltda)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r>
    </w:tbl>
    <w:p>
      <w:pPr>
        <w:sectPr>
          <w:pgSz w:w="11900" w:h="16838" w:orient="portrait"/>
          <w:cols w:equalWidth="0" w:num="1">
            <w:col w:w="11280"/>
          </w:cols>
          <w:pgMar w:left="340" w:top="783" w:right="279" w:bottom="198"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Massey Ferguson Administradora de Consorcios Ltda</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Canada Ltd</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S.N.C.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GmbH</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AAG Agriculture Application Group GmbH &amp; Co KG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DKE-Data GmbH &amp; Co. KG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DKE-Data Verwaltungs GmbH</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Tractors and Farm Equipment Ltd</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DAC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Libyan Tractor and Agricultural Commodities Company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Libya</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Compagnie Maghebine de Materials Agricoles et Industriels SA</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Morocco</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B.V</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RM (Manufacturing) Holding BV</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Ltd</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Zealand</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Sp.z.o.o</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GolAZ OJSC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AG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Switzerland</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Cimbria Unigrain (Thailand) Ltd</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Thailand</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Ltd</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AGCO Finance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bl>
    <w:p>
      <w:pPr>
        <w:sectPr>
          <w:pgSz w:w="11900" w:h="16838" w:orient="portrait"/>
          <w:cols w:equalWidth="0" w:num="1">
            <w:col w:w="11280"/>
          </w:cols>
          <w:pgMar w:left="340" w:top="783" w:right="27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AGCO Corporation:</w:t>
      </w:r>
    </w:p>
    <w:p>
      <w:pPr>
        <w:spacing w:after="0" w:line="178" w:lineRule="exact"/>
        <w:rPr>
          <w:sz w:val="20"/>
          <w:szCs w:val="20"/>
          <w:color w:val="auto"/>
        </w:rPr>
      </w:pPr>
    </w:p>
    <w:p>
      <w:pPr>
        <w:ind w:right="60"/>
        <w:spacing w:after="0" w:line="227"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178399 and No. 333-142711) on Form S-8 of AGCO Corporation and subsidiaries (the Company) of our reports dated March 1, 2019, with respect to the consolidated balance sheets of the Company as of December 31, 2018 and 2017, and the related consolidated statements of operations, comprehensive income (loss), stockholders’ equity, and cash flows for each of the years in the three-year period ended December 31, 2018, and the related notes and financial statement schedule (collectively, the consolidated financial statements), and the effectiveness of internal control over financial reporting as of December 31, 2018, which reports appear in the December 31, 2018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the Company.</w:t>
      </w:r>
    </w:p>
    <w:p>
      <w:pPr>
        <w:spacing w:after="0" w:line="1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report on the consolidated financial statements refers to a change in the method of accounting for revenue recognition in 2018 due to the adoption of Accounting Standards Codification 606,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ectPr>
          <w:pgSz w:w="11900" w:h="16838" w:orient="portrait"/>
          <w:cols w:equalWidth="0" w:num="1">
            <w:col w:w="11420"/>
          </w:cols>
          <w:pgMar w:left="240" w:top="117"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Know all men and women by these presents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each person whose signature appears below, hereby constitutes and appoints Andrew H. Beck, Roger N. Batkin and Lara T. Long his/her true and lawful attorneys-in-fact and agents, with full power of substitution and resubstitution, for him/her and in his/her name, place and stead, in any and all capacities, to sign the annual report on Form 10-K of AGCO Corporation for the fiscal year ended December 31, 2018 and any or all amendments or supplements thereto,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the Form 10-K or any amendments or supplements thereto in and about the premises, as fully to all intents and purposes as he might or could do in person, hereby ratifying and confirming all that said attorneys-in-fact and agents or his substitute or substitutes, may lawfully do or cause to be done by virtue hereof.</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78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Martin Richenhagen</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Richenhagen</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Roy V. Armes</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V. Armes</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C. Arnold</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C. Arnold</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 George Benson</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George Benson</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Suzanne P. Clark</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P. Clark</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Wolfgang Deml</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Wolfgang Deml</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George E. Minnich</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Minnich</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Gerald L. Shaheen</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L. Shaheen</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13"/>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Mallika Srinivasan</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Mallika Srinivasan</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Hendrikus Visser</w:t>
            </w:r>
          </w:p>
        </w:tc>
        <w:tc>
          <w:tcPr>
            <w:tcW w:w="8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1,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Hendrikus Visser</w:t>
            </w:r>
          </w:p>
        </w:tc>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ectPr>
          <w:pgSz w:w="11900" w:h="16838" w:orient="portrait"/>
          <w:cols w:equalWidth="0" w:num="1">
            <w:col w:w="11420"/>
          </w:cols>
          <w:pgMar w:left="240" w:top="576"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Richenhagen, certify that:</w:t>
      </w:r>
    </w:p>
    <w:p>
      <w:pPr>
        <w:spacing w:after="0" w:line="225"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AGCO Corporation;</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1300" w:right="42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left="1300" w:right="54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960" w:right="140" w:hanging="655"/>
        <w:spacing w:after="0" w:line="313" w:lineRule="auto"/>
        <w:tabs>
          <w:tab w:leader="none" w:pos="196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Dated:</w:t>
        <w:tab/>
        <w:t>March 1, 2019</w:t>
      </w:r>
    </w:p>
    <w:p>
      <w:pPr>
        <w:spacing w:after="0" w:line="387"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/s/ Martin Richenhagen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34290</wp:posOffset>
            </wp:positionV>
            <wp:extent cx="4056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Martin Richenhagen</w:t>
      </w:r>
    </w:p>
    <w:p>
      <w:pPr>
        <w:spacing w:after="0" w:line="6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ectPr>
          <w:pgSz w:w="11900" w:h="16838" w:orient="portrait"/>
          <w:cols w:equalWidth="0" w:num="1">
            <w:col w:w="11420"/>
          </w:cols>
          <w:pgMar w:left="240" w:top="576" w:right="2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H. Beck, certify that:</w:t>
      </w:r>
    </w:p>
    <w:p>
      <w:pPr>
        <w:spacing w:after="0" w:line="225"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AGCO Corporation;</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1300" w:right="42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left="1300" w:right="54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960" w:right="140" w:hanging="655"/>
        <w:spacing w:after="0" w:line="313" w:lineRule="auto"/>
        <w:tabs>
          <w:tab w:leader="none" w:pos="196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Dated:</w:t>
        <w:tab/>
        <w:t>March 1, 2019</w:t>
      </w:r>
    </w:p>
    <w:p>
      <w:pPr>
        <w:spacing w:after="0" w:line="387"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/s/ Andrew H.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34290</wp:posOffset>
            </wp:positionV>
            <wp:extent cx="4056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Andrew H. Beck</w:t>
      </w:r>
    </w:p>
    <w:p>
      <w:pPr>
        <w:spacing w:after="0" w:line="6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576"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undersigned, as the Chairman of the Board, President and Chief Executive Officer and as the Senior Vice President and Chief Financial Officer of AGCO Corporation, respectively, certify that, to the best of their knowledge and belief, the Annual Report on Form 10-K for the year ended December 31, 2018 that accompanies this certification fully complies with the requirements of Section 13(a) of the Securities Exchange Act of 1934 and the information contained in the annual report fairly presents, in all material respects, the financial condition and results of operations of AGCO Corporation at the dates and for the periods indicated. The foregoing certifications are made pursuant to 906 of the Sarbanes-Oxley Act of 2002 (18 U.S.C. 1350) and shall not be relied upon for any other purpose.</w:t>
      </w:r>
    </w:p>
    <w:p>
      <w:pPr>
        <w:spacing w:after="0" w:line="134"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/s/ Martin Richenhagen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Martin Richenhagen</w:t>
      </w:r>
    </w:p>
    <w:p>
      <w:pPr>
        <w:spacing w:after="0" w:line="6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6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March 1, 2019</w:t>
      </w:r>
    </w:p>
    <w:p>
      <w:pPr>
        <w:spacing w:after="0" w:line="33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/s/Andrew H.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Andrew H. Beck</w:t>
      </w:r>
    </w:p>
    <w:p>
      <w:pPr>
        <w:spacing w:after="0" w:line="6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6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March 1, 2019</w:t>
      </w:r>
    </w:p>
    <w:p>
      <w:pPr>
        <w:spacing w:after="0" w:line="200" w:lineRule="exact"/>
        <w:rPr>
          <w:sz w:val="20"/>
          <w:szCs w:val="20"/>
          <w:color w:val="auto"/>
        </w:rPr>
      </w:pPr>
    </w:p>
    <w:p>
      <w:pPr>
        <w:spacing w:after="0" w:line="26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AGCO Corporation and will be retained by AGCO Corporation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9"/>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3"/>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lvl w:ilvl="1">
      <w:lvlJc w:val="left"/>
      <w:lvlText w:val="(%2)"/>
      <w:numFmt w:val="lowerLetter"/>
      <w:start w:val="1"/>
    </w:lvl>
  </w:abstractNum>
  <w:abstractNum w:abstractNumId="26">
    <w:nsid w:val="3855585C"/>
    <w:multiLevelType w:val="hybridMultilevel"/>
    <w:lvl w:ilvl="0">
      <w:lvlJc w:val="left"/>
      <w:lvlText w:val="%1."/>
      <w:numFmt w:val="decimal"/>
      <w:start w:val="3"/>
    </w:lvl>
    <w:lvl w:ilvl="1">
      <w:lvlJc w:val="left"/>
      <w:lvlText w:val="(%2)"/>
      <w:numFmt w:val="lowerLetter"/>
      <w:start w:val="1"/>
    </w:lvl>
  </w:abstractNum>
  <w:abstractNum w:abstractNumId="27">
    <w:nsid w:val="70A64E2A"/>
    <w:multiLevelType w:val="hybridMultilevel"/>
    <w:lvl w:ilvl="0">
      <w:lvlJc w:val="left"/>
      <w:lvlText w:val="%1"/>
      <w:numFmt w:val="lowerLetter"/>
      <w:start w:val="1"/>
    </w:lvl>
    <w:lvl w:ilvl="1">
      <w:lvlJc w:val="left"/>
      <w:lvlText w:val="(%2)"/>
      <w:numFmt w:val="lowerLetter"/>
      <w:start w:val="3"/>
    </w:lvl>
  </w:abstractNum>
  <w:abstractNum w:abstractNumId="28">
    <w:nsid w:val="6A2342EC"/>
    <w:multiLevelType w:val="hybridMultilevel"/>
    <w:lvl w:ilvl="0">
      <w:lvlJc w:val="left"/>
      <w:lvlText w:val="(%1)"/>
      <w:numFmt w:val="lowerLetter"/>
      <w:start w:val="6"/>
    </w:lvl>
    <w:lvl w:ilvl="1">
      <w:lvlJc w:val="left"/>
      <w:lvlText w:val="%2"/>
      <w:numFmt w:val="lowerLetter"/>
      <w:start w:val="1"/>
    </w:lvl>
  </w:abstractNum>
  <w:abstractNum w:abstractNumId="29">
    <w:nsid w:val="2A487CB0"/>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lvl w:ilvl="3">
      <w:lvlJc w:val="left"/>
      <w:lvlText w:val="%4"/>
      <w:numFmt w:val="lowerRoman"/>
      <w:start w:val="1"/>
    </w:lvl>
    <w:lvl w:ilvl="4">
      <w:lvlJc w:val="left"/>
      <w:lvlText w:val="(%5)"/>
      <w:numFmt w:val="lowerLetter"/>
      <w:start w:val="1"/>
    </w:lvl>
  </w:abstractNum>
  <w:abstractNum w:abstractNumId="30">
    <w:nsid w:val="1D4ED43B"/>
    <w:multiLevelType w:val="hybridMultilevel"/>
    <w:lvl w:ilvl="0">
      <w:lvlJc w:val="left"/>
      <w:lvlText w:val="(%1)"/>
      <w:numFmt w:val="lowerLetter"/>
      <w:start w:val="35"/>
    </w:lvl>
    <w:lvl w:ilvl="1">
      <w:lvlJc w:val="left"/>
      <w:lvlText w:val="%2"/>
      <w:numFmt w:val="decimal"/>
      <w:start w:val="1"/>
    </w:lvl>
    <w:lvl w:ilvl="2">
      <w:lvlJc w:val="left"/>
      <w:lvlText w:val="(%3)"/>
      <w:numFmt w:val="lowerRoman"/>
      <w:start w:val="2"/>
    </w:lvl>
    <w:lvl w:ilvl="3">
      <w:lvlJc w:val="left"/>
      <w:lvlText w:val="(%4)"/>
      <w:numFmt w:val="lowerRoman"/>
    </w:lvl>
    <w:lvl w:ilvl="4">
      <w:lvlJc w:val="left"/>
      <w:lvlText w:val="(%5)"/>
      <w:numFmt w:val="lowerLetter"/>
      <w:start w:val="2"/>
    </w:lvl>
  </w:abstractNum>
  <w:abstractNum w:abstractNumId="31">
    <w:nsid w:val="725A06FB"/>
    <w:multiLevelType w:val="hybridMultilevel"/>
    <w:lvl w:ilvl="0">
      <w:lvlJc w:val="left"/>
      <w:lvlText w:val="(%1)"/>
      <w:numFmt w:val="lowerRoman"/>
      <w:start w:val="5"/>
    </w:lvl>
  </w:abstractNum>
  <w:abstractNum w:abstractNumId="32">
    <w:nsid w:val="2CD89A32"/>
    <w:multiLevelType w:val="hybridMultilevel"/>
    <w:lvl w:ilvl="0">
      <w:lvlJc w:val="left"/>
      <w:lvlText w:val="%1"/>
      <w:numFmt w:val="lowerLetter"/>
      <w:start w:val="1"/>
    </w:lvl>
    <w:lvl w:ilvl="1">
      <w:lvlJc w:val="left"/>
      <w:lvlText w:val="(%2)"/>
      <w:numFmt w:val="lowerLetter"/>
      <w:start w:val="3"/>
    </w:lvl>
  </w:abstractNum>
  <w:abstractNum w:abstractNumId="33">
    <w:nsid w:val="57E4CCAF"/>
    <w:multiLevelType w:val="hybridMultilevel"/>
    <w:lvl w:ilvl="0">
      <w:lvlJc w:val="left"/>
      <w:lvlText w:val="(%1)"/>
      <w:numFmt w:val="lowerLetter"/>
      <w:start w:val="6"/>
    </w:lvl>
    <w:lvl w:ilvl="1">
      <w:lvlJc w:val="left"/>
      <w:lvlText w:val="%2"/>
      <w:numFmt w:val="lowerLetter"/>
      <w:start w:val="1"/>
    </w:lvl>
  </w:abstractNum>
  <w:abstractNum w:abstractNumId="34">
    <w:nsid w:val="7A6D8D3C"/>
    <w:multiLevelType w:val="hybridMultilevel"/>
    <w:lvl w:ilvl="0">
      <w:lvlJc w:val="left"/>
      <w:lvlText w:val="%1"/>
      <w:numFmt w:val="lowerLetter"/>
      <w:start w:val="1"/>
    </w:lvl>
    <w:lvl w:ilvl="1">
      <w:lvlJc w:val="left"/>
      <w:lvlText w:val="(%2)"/>
      <w:numFmt w:val="lowerLetter"/>
      <w:start w:val="7"/>
    </w:lvl>
  </w:abstractNum>
  <w:abstractNum w:abstractNumId="35">
    <w:nsid w:val="4B588F54"/>
    <w:multiLevelType w:val="hybridMultilevel"/>
    <w:lvl w:ilvl="0">
      <w:lvlJc w:val="left"/>
      <w:lvlText w:val="(%1)"/>
      <w:numFmt w:val="lowerLetter"/>
      <w:start w:val="10"/>
    </w:lvl>
    <w:lvl w:ilvl="1">
      <w:lvlJc w:val="left"/>
      <w:lvlText w:val="%2"/>
      <w:numFmt w:val="lowerLetter"/>
      <w:start w:val="1"/>
    </w:lvl>
  </w:abstractNum>
  <w:abstractNum w:abstractNumId="36">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7">
    <w:nsid w:val="6DE91B1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38">
    <w:nsid w:val="38437FD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0"/>
    </w:lvl>
  </w:abstractNum>
  <w:abstractNum w:abstractNumId="39">
    <w:nsid w:val="7644A45C"/>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40">
    <w:nsid w:val="32FFF902"/>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1"/>
    </w:lvl>
  </w:abstractNum>
  <w:abstractNum w:abstractNumId="41">
    <w:nsid w:val="684A481A"/>
    <w:multiLevelType w:val="hybridMultilevel"/>
    <w:lvl w:ilvl="0">
      <w:lvlJc w:val="left"/>
      <w:lvlText w:val="(%1)"/>
      <w:numFmt w:val="decimal"/>
      <w:start w:val="30"/>
    </w:lvl>
  </w:abstractNum>
  <w:abstractNum w:abstractNumId="42">
    <w:nsid w:val="579478FE"/>
    <w:multiLevelType w:val="hybridMultilevel"/>
    <w:lvl w:ilvl="0">
      <w:lvlJc w:val="left"/>
      <w:lvlText w:val="(%1)"/>
      <w:numFmt w:val="lowerRoman"/>
      <w:start w:val="3"/>
    </w:lvl>
    <w:lvl w:ilvl="1">
      <w:lvlJc w:val="left"/>
      <w:lvlText w:val="(%2)"/>
      <w:numFmt w:val="lowerLetter"/>
      <w:start w:val="7"/>
    </w:lvl>
  </w:abstractNum>
  <w:abstractNum w:abstractNumId="43">
    <w:nsid w:val="749ABB43"/>
    <w:multiLevelType w:val="hybridMultilevel"/>
    <w:lvl w:ilvl="0">
      <w:lvlJc w:val="left"/>
      <w:lvlText w:val="%1."/>
      <w:numFmt w:val="decimal"/>
      <w:start w:val="6"/>
    </w:lvl>
    <w:lvl w:ilvl="1">
      <w:lvlJc w:val="left"/>
      <w:lvlText w:val="(%2)"/>
      <w:numFmt w:val="lowerLetter"/>
      <w:start w:val="1"/>
    </w:lvl>
  </w:abstractNum>
  <w:abstractNum w:abstractNumId="44">
    <w:nsid w:val="3DC240FB"/>
    <w:multiLevelType w:val="hybridMultilevel"/>
    <w:lvl w:ilvl="0">
      <w:lvlJc w:val="left"/>
      <w:lvlText w:val="%1."/>
      <w:numFmt w:val="decimal"/>
      <w:start w:val="8"/>
    </w:lvl>
  </w:abstractNum>
  <w:abstractNum w:abstractNumId="45">
    <w:nsid w:val="1BA026FA"/>
    <w:multiLevelType w:val="hybridMultilevel"/>
    <w:lvl w:ilvl="0">
      <w:lvlJc w:val="left"/>
      <w:lvlText w:val="%1."/>
      <w:numFmt w:val="decimal"/>
      <w:start w:val="9"/>
    </w:lvl>
  </w:abstractNum>
  <w:abstractNum w:abstractNumId="46">
    <w:nsid w:val="79A1DEAA"/>
    <w:multiLevelType w:val="hybridMultilevel"/>
    <w:lvl w:ilvl="0">
      <w:lvlJc w:val="left"/>
      <w:lvlText w:val="%1"/>
      <w:numFmt w:val="decimal"/>
      <w:start w:val="1"/>
    </w:lvl>
    <w:lvl w:ilvl="1">
      <w:lvlJc w:val="left"/>
      <w:lvlText w:val="%2."/>
      <w:numFmt w:val="decimal"/>
      <w:start w:val="10"/>
    </w:lvl>
  </w:abstractNum>
  <w:abstractNum w:abstractNumId="47">
    <w:nsid w:val="75C6C33A"/>
    <w:multiLevelType w:val="hybridMultilevel"/>
    <w:lvl w:ilvl="0">
      <w:lvlJc w:val="left"/>
      <w:lvlText w:val="%1."/>
      <w:numFmt w:val="decimal"/>
      <w:start w:val="12"/>
    </w:lvl>
    <w:lvl w:ilvl="1">
      <w:lvlJc w:val="left"/>
      <w:lvlText w:val="%2."/>
      <w:numFmt w:val="decimal"/>
      <w:start w:val="13"/>
    </w:lvl>
  </w:abstractNum>
  <w:abstractNum w:abstractNumId="48">
    <w:nsid w:val="12E685FB"/>
    <w:multiLevelType w:val="hybridMultilevel"/>
    <w:lvl w:ilvl="0">
      <w:lvlJc w:val="left"/>
      <w:lvlText w:val="%1."/>
      <w:numFmt w:val="decimal"/>
      <w:start w:val="14"/>
    </w:lvl>
  </w:abstractNum>
  <w:abstractNum w:abstractNumId="49">
    <w:nsid w:val="70C6A529"/>
    <w:multiLevelType w:val="hybridMultilevel"/>
    <w:lvl w:ilvl="0">
      <w:lvlJc w:val="left"/>
      <w:lvlText w:val="%1)"/>
      <w:numFmt w:val="upperLetter"/>
      <w:start w:val="9"/>
    </w:lvl>
  </w:abstractNum>
  <w:abstractNum w:abstractNumId="50">
    <w:nsid w:val="520EEDD1"/>
    <w:multiLevelType w:val="hybridMultilevel"/>
    <w:lvl w:ilvl="0">
      <w:lvlJc w:val="left"/>
      <w:lvlText w:val="%1)"/>
      <w:numFmt w:val="upperLetter"/>
      <w:start w:val="35"/>
    </w:lvl>
  </w:abstractNum>
  <w:abstractNum w:abstractNumId="51">
    <w:nsid w:val="374A3FE6"/>
    <w:multiLevelType w:val="hybridMultilevel"/>
    <w:lvl w:ilvl="0">
      <w:lvlJc w:val="left"/>
      <w:lvlText w:val="%1)"/>
      <w:numFmt w:val="upperLetter"/>
      <w:start w:val="61"/>
    </w:lvl>
  </w:abstractNum>
  <w:abstractNum w:abstractNumId="52">
    <w:nsid w:val="4F4EF005"/>
    <w:multiLevelType w:val="hybridMultilevel"/>
    <w:lvl w:ilvl="0">
      <w:lvlJc w:val="left"/>
      <w:lvlText w:val="%1"/>
      <w:numFmt w:val="decimal"/>
      <w:start w:val="1"/>
    </w:lvl>
    <w:lvl w:ilvl="1">
      <w:lvlJc w:val="left"/>
      <w:lvlText w:val="%2)"/>
      <w:numFmt w:val="upperLetter"/>
      <w:start w:val="22"/>
    </w:lvl>
  </w:abstractNum>
  <w:abstractNum w:abstractNumId="53">
    <w:nsid w:val="23F9C13C"/>
    <w:multiLevelType w:val="hybridMultilevel"/>
    <w:lvl w:ilvl="0">
      <w:lvlJc w:val="left"/>
      <w:lvlText w:val="%1)"/>
      <w:numFmt w:val="decimal"/>
      <w:start w:val="2"/>
    </w:lvl>
    <w:lvl w:ilvl="1">
      <w:lvlJc w:val="left"/>
      <w:lvlText w:val="%2"/>
      <w:numFmt w:val="upp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66"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jpeg"/><Relationship Id="rId69"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35" Type="http://schemas.openxmlformats.org/officeDocument/2006/relationships/hyperlink" Target="http://www.sec.gov/Archives/edgar/data/880266/000095014402008625/g77665exv3w1.txt" TargetMode="External"/><Relationship Id="rId36" Type="http://schemas.openxmlformats.org/officeDocument/2006/relationships/hyperlink" Target="http://www.sec.gov/Archives/edgar/data/880266/000144530514005474/agcoex31.htm" TargetMode="External"/><Relationship Id="rId37" Type="http://schemas.openxmlformats.org/officeDocument/2006/relationships/hyperlink" Target="http://www.sec.gov/Archives/edgar/data/880266/000088026617000033/agcoex105-2017q3.htm" TargetMode="External"/><Relationship Id="rId38" Type="http://schemas.openxmlformats.org/officeDocument/2006/relationships/hyperlink" Target="http://www.sec.gov/Archives/edgar/data/880266/000095014406004750/g01264exv10w2.txt" TargetMode="External"/><Relationship Id="rId39" Type="http://schemas.openxmlformats.org/officeDocument/2006/relationships/hyperlink" Target="http://www.sec.gov/Archives/edgar/data/880266/000095014406004750/g01264exv10w3.txt" TargetMode="External"/><Relationship Id="rId40" Type="http://schemas.openxmlformats.org/officeDocument/2006/relationships/hyperlink" Target="http://www.sec.gov/Archives/edgar/data/880266/000095014406004750/g01264exv10w4.txt" TargetMode="External"/><Relationship Id="rId41" Type="http://schemas.openxmlformats.org/officeDocument/2006/relationships/hyperlink" Target="http://www.sec.gov/Archives/edgar/data/880266/000088026619000003/a102-agcoxssarsawardtempla.htm" TargetMode="External"/><Relationship Id="rId42" Type="http://schemas.openxmlformats.org/officeDocument/2006/relationships/hyperlink" Target="http://www.sec.gov/Archives/edgar/data/880266/000088026616000039/ex101-rsuagreementxjanuary.htm" TargetMode="External"/><Relationship Id="rId43" Type="http://schemas.openxmlformats.org/officeDocument/2006/relationships/hyperlink" Target="http://www.sec.gov/Archives/edgar/data/880266/000088026618000026/q218exhibitstkawd.htm" TargetMode="External"/><Relationship Id="rId44" Type="http://schemas.openxmlformats.org/officeDocument/2006/relationships/hyperlink" Target="http://www.sec.gov/Archives/edgar/data/880266/000088026619000003/a101-agcoxformofrestricted.htm" TargetMode="External"/><Relationship Id="rId45" Type="http://schemas.openxmlformats.org/officeDocument/2006/relationships/hyperlink" Target="http://www.sec.gov/Archives/edgar/data/880266/000095014406004750/g01264exv10w6.txt" TargetMode="External"/><Relationship Id="rId46" Type="http://schemas.openxmlformats.org/officeDocument/2006/relationships/hyperlink" Target="http://www.sec.gov/Archives/edgar/data/880266/000088026619000003/a103-agcoxformofperformanc.htm" TargetMode="External"/><Relationship Id="rId47" Type="http://schemas.openxmlformats.org/officeDocument/2006/relationships/hyperlink" Target="http://www.sec.gov/Archives/edgar/data/880266/000119312513123417/d466096ddef14a.htm" TargetMode="External"/><Relationship Id="rId48" Type="http://schemas.openxmlformats.org/officeDocument/2006/relationships/hyperlink" Target="http://www.sec.gov/Archives/edgar/data/880266/000088026615000031/exhibit991amendedandrestat.htm" TargetMode="External"/><Relationship Id="rId49" Type="http://schemas.openxmlformats.org/officeDocument/2006/relationships/hyperlink" Target="http://www.sec.gov/Archives/edgar/data/880266/000088026616000044/agcoex109-201510k.htm" TargetMode="External"/><Relationship Id="rId50" Type="http://schemas.openxmlformats.org/officeDocument/2006/relationships/hyperlink" Target="http://www.sec.gov/Archives/edgar/data/880266/000095012310017928/g22156exv10w12.htm" TargetMode="External"/><Relationship Id="rId51" Type="http://schemas.openxmlformats.org/officeDocument/2006/relationships/hyperlink" Target="http://www.sec.gov/Archives/edgar/data/880266/000095012310046026/g23269exv10w2.htm" TargetMode="External"/><Relationship Id="rId52" Type="http://schemas.openxmlformats.org/officeDocument/2006/relationships/hyperlink" Target="http://www.sec.gov/Archives/edgar/data/880266/000088026618000005/agcoex1013-201710k.htm" TargetMode="External"/><Relationship Id="rId53" Type="http://schemas.openxmlformats.org/officeDocument/2006/relationships/hyperlink" Target="http://www.sec.gov/Archives/edgar/data/880266/000088026616000044/agcoex1013-201510k.htm" TargetMode="External"/><Relationship Id="rId54" Type="http://schemas.openxmlformats.org/officeDocument/2006/relationships/hyperlink" Target="http://www.sec.gov/Archives/edgar/data/880266/000095012310017928/g22156exv10w17.htm" TargetMode="External"/><Relationship Id="rId55" Type="http://schemas.openxmlformats.org/officeDocument/2006/relationships/hyperlink" Target="http://www.sec.gov/Archives/edgar/data/880266/000088026615000009/agcoex1015-201410k.htm" TargetMode="External"/><Relationship Id="rId56" Type="http://schemas.openxmlformats.org/officeDocument/2006/relationships/hyperlink" Target="http://www.sec.gov/Archives/edgar/data/880266/000088026618000033/a22982647_v9xrabobankxagco.htm" TargetMode="External"/><Relationship Id="rId57" Type="http://schemas.openxmlformats.org/officeDocument/2006/relationships/hyperlink" Target="http://www.sec.gov/Archives/edgar/data/880266/000088026615000037/agcoex101-2015q3.htm" TargetMode="External"/><Relationship Id="rId58" Type="http://schemas.openxmlformats.org/officeDocument/2006/relationships/hyperlink" Target="http://www.sec.gov/Archives/edgar/data/880266/000119312514331451/d783600dex101.htm" TargetMode="External"/><Relationship Id="rId59" Type="http://schemas.openxmlformats.org/officeDocument/2006/relationships/hyperlink" Target="http://www.sec.gov/Archives/edgar/data/880266/000119312514331451/d783600dex102.htm" TargetMode="External"/><Relationship Id="rId60" Type="http://schemas.openxmlformats.org/officeDocument/2006/relationships/hyperlink" Target="http://www.sec.gov/Archives/edgar/data/880266/000119312514331451/d783600dex103.htm" TargetMode="External"/><Relationship Id="rId61" Type="http://schemas.openxmlformats.org/officeDocument/2006/relationships/hyperlink" Target="http://www.sec.gov/Archives/edgar/data/880266/000088026617000025/ex101-agcoxletteragreement.htm" TargetMode="External"/><Relationship Id="rId62" Type="http://schemas.openxmlformats.org/officeDocument/2006/relationships/hyperlink" Target="http://www.sec.gov/Archives/edgar/data/880266/000088026617000025/ex102-agcoxletteragreement.htm" TargetMode="External"/><Relationship Id="rId63" Type="http://schemas.openxmlformats.org/officeDocument/2006/relationships/hyperlink" Target="http://www.sec.gov/Archives/edgar/data/880266/000088026617000025/ex103-agcoxletteragreement.htm" TargetMode="External"/><Relationship Id="rId64" Type="http://schemas.openxmlformats.org/officeDocument/2006/relationships/hyperlink" Target="http://www.sec.gov/Archives/edgar/data/880266/000088026617000025/ex104-agcoxamendletteragre.htm" TargetMode="External"/><Relationship Id="rId65" Type="http://schemas.openxmlformats.org/officeDocument/2006/relationships/hyperlink" Target="http://www.sec.gov/Archives/edgar/data/880266/000144530514005474/agco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2019-12-28T15:42:37Z</dcterms:created>
  <dcterms:modified xsi:type="dcterms:W3CDTF">2019-12-28T15:42:37Z</dcterms:modified>
</cp:coreProperties>
</file>