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 to _________</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001-12930 </w:t>
      </w:r>
    </w:p>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AGCO CORPORATION</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18" w:type="dxa"/>
        <w:jc w:val="center"/>
        <w:tblInd w:w="0" w:type="dxa"/>
        <w:tblLayout w:type="fixed"/>
        <w:tblCellMar>
          <w:top w:w="28" w:type="dxa"/>
          <w:left w:w="28" w:type="dxa"/>
          <w:bottom w:w="28" w:type="dxa"/>
          <w:right w:w="28" w:type="dxa"/>
        </w:tblCellMar>
      </w:tblPr>
      <w:tblGrid>
        <w:gridCol w:w="915"/>
        <w:gridCol w:w="802"/>
        <w:gridCol w:w="802"/>
        <w:gridCol w:w="802"/>
        <w:gridCol w:w="802"/>
        <w:gridCol w:w="839"/>
        <w:gridCol w:w="109"/>
        <w:gridCol w:w="109"/>
        <w:gridCol w:w="109"/>
        <w:gridCol w:w="884"/>
        <w:gridCol w:w="884"/>
        <w:gridCol w:w="1261"/>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58-1960019</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500" w:after="283"/>
              <w:jc w:val="center"/>
              <w:rPr>
                <w:rFonts w:ascii="Times New Roman;serif" w:hAnsi="Times New Roman;serif"/>
                <w:b/>
                <w:color w:val="000000"/>
                <w:sz w:val="20"/>
              </w:rPr>
            </w:pPr>
            <w:r>
              <w:rPr>
                <w:rFonts w:ascii="Times New Roman;serif" w:hAnsi="Times New Roman;serif"/>
                <w:b/>
                <w:color w:val="000000"/>
                <w:sz w:val="20"/>
              </w:rPr>
              <w:t>4205 River Green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Duluth,</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30096</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(770) 813-9200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20" w:type="dxa"/>
        <w:jc w:val="center"/>
        <w:tblInd w:w="0" w:type="dxa"/>
        <w:tblLayout w:type="fixed"/>
        <w:tblCellMar>
          <w:top w:w="28" w:type="dxa"/>
          <w:left w:w="28" w:type="dxa"/>
          <w:bottom w:w="28" w:type="dxa"/>
          <w:right w:w="28" w:type="dxa"/>
        </w:tblCellMar>
      </w:tblPr>
      <w:tblGrid>
        <w:gridCol w:w="580"/>
        <w:gridCol w:w="510"/>
        <w:gridCol w:w="510"/>
        <w:gridCol w:w="510"/>
        <w:gridCol w:w="510"/>
        <w:gridCol w:w="510"/>
        <w:gridCol w:w="993"/>
        <w:gridCol w:w="993"/>
        <w:gridCol w:w="140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6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Class</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AGCO</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120"/>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40" w:before="0" w:after="120"/>
        <w:ind w:left="0" w:right="0" w:firstLine="450"/>
        <w:jc w:val="both"/>
        <w:rPr/>
      </w:pPr>
      <w:r>
        <w:rPr>
          <w:color w:val="000000"/>
        </w:rPr>
        <w:t xml:space="preserve">☒ </w:t>
      </w:r>
      <w:r>
        <w:rPr>
          <w:rFonts w:ascii="Times New Roman;serif" w:hAnsi="Times New Roman;serif"/>
          <w:b w:val="false"/>
          <w:color w:val="000000"/>
          <w:sz w:val="18"/>
        </w:rPr>
        <w:t xml:space="preserve">Yes </w:t>
      </w:r>
      <w:r>
        <w:rPr>
          <w:rFonts w:ascii="Wingdings;sans-serif" w:hAnsi="Wingdings;sans-serif"/>
          <w:b w:val="false"/>
          <w:color w:val="000000"/>
          <w:sz w:val="18"/>
        </w:rPr>
        <w:t xml:space="preserve">o </w:t>
      </w:r>
      <w:r>
        <w:rPr>
          <w:rFonts w:ascii="Times New Roman;serif" w:hAnsi="Times New Roman;serif"/>
          <w:b w:val="false"/>
          <w:color w:val="000000"/>
          <w:sz w:val="18"/>
        </w:rPr>
        <w:t>No</w:t>
      </w:r>
    </w:p>
    <w:p>
      <w:pPr>
        <w:pStyle w:val="TextBody"/>
        <w:bidi w:val="0"/>
        <w:spacing w:lineRule="auto" w:line="288" w:before="0" w:after="120"/>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40" w:before="0" w:after="120"/>
        <w:ind w:left="0" w:right="0" w:firstLine="450"/>
        <w:jc w:val="both"/>
        <w:rPr/>
      </w:pPr>
      <w:r>
        <w:rPr>
          <w:color w:val="000000"/>
        </w:rPr>
        <w:t xml:space="preserve">☒ </w:t>
      </w:r>
      <w:r>
        <w:rPr>
          <w:rFonts w:ascii="Times New Roman;serif" w:hAnsi="Times New Roman;serif"/>
          <w:b w:val="false"/>
          <w:color w:val="000000"/>
          <w:sz w:val="18"/>
        </w:rPr>
        <w:t xml:space="preserve">Yes </w:t>
      </w:r>
      <w:r>
        <w:rPr>
          <w:rFonts w:ascii="Wingdings;sans-serif" w:hAnsi="Wingdings;sans-serif"/>
          <w:b w:val="false"/>
          <w:color w:val="000000"/>
          <w:sz w:val="18"/>
        </w:rPr>
        <w:t xml:space="preserve">o </w:t>
      </w:r>
      <w:r>
        <w:rPr>
          <w:rFonts w:ascii="Times New Roman;serif" w:hAnsi="Times New Roman;serif"/>
          <w:b w:val="false"/>
          <w:color w:val="000000"/>
          <w:sz w:val="18"/>
        </w:rPr>
        <w:t>No</w:t>
      </w:r>
    </w:p>
    <w:p>
      <w:pPr>
        <w:pStyle w:val="TextBody"/>
        <w:bidi w:val="0"/>
        <w:spacing w:lineRule="auto" w:line="288"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24"/>
        <w:gridCol w:w="109"/>
        <w:gridCol w:w="109"/>
        <w:gridCol w:w="546"/>
        <w:gridCol w:w="546"/>
        <w:gridCol w:w="548"/>
        <w:gridCol w:w="109"/>
        <w:gridCol w:w="109"/>
        <w:gridCol w:w="109"/>
        <w:gridCol w:w="417"/>
        <w:gridCol w:w="417"/>
        <w:gridCol w:w="419"/>
        <w:gridCol w:w="109"/>
        <w:gridCol w:w="109"/>
        <w:gridCol w:w="109"/>
        <w:gridCol w:w="522"/>
        <w:gridCol w:w="522"/>
        <w:gridCol w:w="524"/>
        <w:gridCol w:w="109"/>
        <w:gridCol w:w="109"/>
        <w:gridCol w:w="109"/>
        <w:gridCol w:w="670"/>
        <w:gridCol w:w="670"/>
        <w:gridCol w:w="673"/>
        <w:gridCol w:w="109"/>
        <w:gridCol w:w="109"/>
        <w:gridCol w:w="109"/>
        <w:gridCol w:w="606"/>
        <w:gridCol w:w="606"/>
        <w:gridCol w:w="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r>
    </w:tbl>
    <w:p>
      <w:pPr>
        <w:pStyle w:val="TextBody"/>
        <w:bidi w:val="0"/>
        <w:spacing w:lineRule="auto" w:line="288" w:before="0" w:after="120"/>
        <w:ind w:left="0" w:right="0" w:firstLine="45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lineRule="auto" w:line="288" w:before="0" w:after="120"/>
        <w:ind w:left="0" w:right="0" w:firstLine="450"/>
        <w:jc w:val="left"/>
        <w:rPr/>
      </w:pPr>
      <w:r>
        <w:rPr>
          <w:rFonts w:ascii="Times New Roman;serif" w:hAnsi="Times New Roman;serif"/>
          <w:b w:val="false"/>
          <w:color w:val="000000"/>
          <w:sz w:val="18"/>
        </w:rPr>
        <w:t xml:space="preserve">Indicate by check mark whether the registrant is a shell company (as defined in Rule 12b-2 of the Exchange Act).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0" w:after="12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As of July 27, 2026, there were 70,031,729 shares of the registrant’s common stock, par value of $0.01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AGCO CORPORATION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271"/>
        <w:gridCol w:w="238"/>
        <w:gridCol w:w="234"/>
        <w:gridCol w:w="369"/>
        <w:gridCol w:w="369"/>
        <w:gridCol w:w="369"/>
        <w:gridCol w:w="2399"/>
        <w:gridCol w:w="2333"/>
        <w:gridCol w:w="2262"/>
        <w:gridCol w:w="396"/>
        <w:gridCol w:w="396"/>
        <w:gridCol w:w="569"/>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br/>
              <w:t>Numbers</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10">
              <w:r>
                <w:rPr>
                  <w:rStyle w:val="InternetLink"/>
                  <w:rFonts w:ascii="Times New Roman;serif" w:hAnsi="Times New Roman;serif"/>
                  <w:b/>
                  <w:color w:val="0000FF"/>
                  <w:sz w:val="20"/>
                  <w:u w:val="single"/>
                </w:rPr>
                <w:t>PART I. FINANCIAL INFORMATION:</w:t>
              </w:r>
            </w:hyperlink>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13">
              <w:r>
                <w:rPr>
                  <w:rStyle w:val="InternetLink"/>
                  <w:rFonts w:ascii="Times New Roman;serif" w:hAnsi="Times New Roman;serif"/>
                  <w:b w:val="false"/>
                  <w:color w:val="0000FF"/>
                  <w:sz w:val="20"/>
                  <w:u w:val="single"/>
                </w:rPr>
                <w:t>Financial Statements (unaudited)</w:t>
              </w:r>
            </w:hyperlink>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16">
              <w:r>
                <w:rPr>
                  <w:rStyle w:val="InternetLink"/>
                  <w:rFonts w:ascii="Times New Roman;serif" w:hAnsi="Times New Roman;serif"/>
                  <w:b w:val="false"/>
                  <w:color w:val="000080"/>
                  <w:sz w:val="20"/>
                  <w:u w:val="single"/>
                </w:rPr>
                <w:t xml:space="preserve">Condensed Consolidated Balance Sheets as of </w:t>
              </w:r>
            </w:hyperlink>
            <w:hyperlink w:anchor="i968c8d8a8fc741548799e059ce631ce9_16">
              <w:r>
                <w:rPr>
                  <w:rStyle w:val="InternetLink"/>
                  <w:rFonts w:ascii="Times New Roman;serif" w:hAnsi="Times New Roman;serif"/>
                  <w:b w:val="false"/>
                  <w:color w:val="000080"/>
                  <w:sz w:val="20"/>
                  <w:u w:val="single"/>
                </w:rPr>
                <w:t>Jun</w:t>
              </w:r>
            </w:hyperlink>
            <w:hyperlink w:anchor="i968c8d8a8fc741548799e059ce631ce9_16">
              <w:r>
                <w:rPr>
                  <w:rStyle w:val="InternetLink"/>
                  <w:rFonts w:ascii="Times New Roman;serif" w:hAnsi="Times New Roman;serif"/>
                  <w:b w:val="false"/>
                  <w:color w:val="000080"/>
                  <w:sz w:val="20"/>
                  <w:u w:val="single"/>
                </w:rPr>
                <w:t>e</w:t>
              </w:r>
            </w:hyperlink>
            <w:hyperlink w:anchor="i968c8d8a8fc741548799e059ce631ce9_16">
              <w:r>
                <w:rPr>
                  <w:rStyle w:val="InternetLink"/>
                  <w:rFonts w:ascii="Times New Roman;serif" w:hAnsi="Times New Roman;serif"/>
                  <w:b w:val="false"/>
                  <w:color w:val="000080"/>
                  <w:sz w:val="20"/>
                  <w:u w:val="single"/>
                </w:rPr>
                <w:t xml:space="preserve"> 3</w:t>
              </w:r>
            </w:hyperlink>
            <w:hyperlink w:anchor="i968c8d8a8fc741548799e059ce631ce9_16">
              <w:r>
                <w:rPr>
                  <w:rStyle w:val="InternetLink"/>
                  <w:rFonts w:ascii="Times New Roman;serif" w:hAnsi="Times New Roman;serif"/>
                  <w:b w:val="false"/>
                  <w:color w:val="000080"/>
                  <w:sz w:val="20"/>
                  <w:u w:val="single"/>
                </w:rPr>
                <w:t>0</w:t>
              </w:r>
            </w:hyperlink>
            <w:hyperlink w:anchor="i968c8d8a8fc741548799e059ce631ce9_16">
              <w:r>
                <w:rPr>
                  <w:rStyle w:val="InternetLink"/>
                  <w:rFonts w:ascii="Times New Roman;serif" w:hAnsi="Times New Roman;serif"/>
                  <w:b w:val="false"/>
                  <w:color w:val="000080"/>
                  <w:sz w:val="20"/>
                  <w:u w:val="single"/>
                </w:rPr>
                <w:t>, 2026 and December 31, 2025</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16">
              <w:r>
                <w:rPr>
                  <w:rStyle w:val="InternetLink"/>
                  <w:rFonts w:ascii="Times New Roman;serif" w:hAnsi="Times New Roman;serif"/>
                  <w:b w:val="false"/>
                  <w:color w:val="1B10FF"/>
                  <w:sz w:val="20"/>
                  <w:u w:val="single"/>
                </w:rPr>
                <w:t>3</w:t>
              </w:r>
            </w:hyperlink>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19">
              <w:r>
                <w:rPr>
                  <w:rStyle w:val="InternetLink"/>
                  <w:rFonts w:ascii="Times New Roman;serif" w:hAnsi="Times New Roman;serif"/>
                  <w:b w:val="false"/>
                  <w:color w:val="000080"/>
                  <w:sz w:val="20"/>
                  <w:u w:val="single"/>
                </w:rPr>
                <w:t xml:space="preserve">Condensed Consolidated Statements of Operations for the Three Months Ended </w:t>
              </w:r>
            </w:hyperlink>
            <w:hyperlink w:anchor="i968c8d8a8fc741548799e059ce631ce9_19">
              <w:r>
                <w:rPr>
                  <w:rStyle w:val="InternetLink"/>
                  <w:rFonts w:ascii="Times New Roman;serif" w:hAnsi="Times New Roman;serif"/>
                  <w:b w:val="false"/>
                  <w:color w:val="000080"/>
                  <w:sz w:val="20"/>
                  <w:u w:val="single"/>
                </w:rPr>
                <w:t>June</w:t>
              </w:r>
            </w:hyperlink>
            <w:hyperlink w:anchor="i968c8d8a8fc741548799e059ce631ce9_19">
              <w:r>
                <w:rPr>
                  <w:rStyle w:val="InternetLink"/>
                  <w:rFonts w:ascii="Times New Roman;serif" w:hAnsi="Times New Roman;serif"/>
                  <w:b w:val="false"/>
                  <w:color w:val="000080"/>
                  <w:sz w:val="20"/>
                  <w:u w:val="single"/>
                </w:rPr>
                <w:t xml:space="preserve"> 3</w:t>
              </w:r>
            </w:hyperlink>
            <w:hyperlink w:anchor="i968c8d8a8fc741548799e059ce631ce9_19">
              <w:r>
                <w:rPr>
                  <w:rStyle w:val="InternetLink"/>
                  <w:rFonts w:ascii="Times New Roman;serif" w:hAnsi="Times New Roman;serif"/>
                  <w:b w:val="false"/>
                  <w:color w:val="000080"/>
                  <w:sz w:val="20"/>
                  <w:u w:val="single"/>
                </w:rPr>
                <w:t>0</w:t>
              </w:r>
            </w:hyperlink>
            <w:hyperlink w:anchor="i968c8d8a8fc741548799e059ce631ce9_19">
              <w:r>
                <w:rPr>
                  <w:rStyle w:val="InternetLink"/>
                  <w:rFonts w:ascii="Times New Roman;serif" w:hAnsi="Times New Roman;serif"/>
                  <w:b w:val="false"/>
                  <w:color w:val="000080"/>
                  <w:sz w:val="20"/>
                  <w:u w:val="single"/>
                </w:rPr>
                <w:t>, 2026 and 2025</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19">
              <w:r>
                <w:rPr>
                  <w:rStyle w:val="InternetLink"/>
                  <w:rFonts w:ascii="Times New Roman;serif" w:hAnsi="Times New Roman;serif"/>
                  <w:b w:val="false"/>
                  <w:color w:val="1B10FF"/>
                  <w:sz w:val="20"/>
                  <w:u w:val="single"/>
                </w:rPr>
                <w:t>4</w:t>
              </w:r>
            </w:hyperlink>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22">
              <w:r>
                <w:rPr>
                  <w:rStyle w:val="InternetLink"/>
                  <w:rFonts w:ascii="Times New Roman;serif" w:hAnsi="Times New Roman;serif"/>
                  <w:b w:val="false"/>
                  <w:color w:val="000080"/>
                  <w:sz w:val="20"/>
                  <w:u w:val="single"/>
                </w:rPr>
                <w:t xml:space="preserve">Condensed Consolidated Statements of Operations for the </w:t>
              </w:r>
            </w:hyperlink>
            <w:hyperlink w:anchor="i968c8d8a8fc741548799e059ce631ce9_22">
              <w:r>
                <w:rPr>
                  <w:rStyle w:val="InternetLink"/>
                  <w:rFonts w:ascii="Times New Roman;serif" w:hAnsi="Times New Roman;serif"/>
                  <w:b w:val="false"/>
                  <w:color w:val="000080"/>
                  <w:sz w:val="20"/>
                  <w:u w:val="single"/>
                </w:rPr>
                <w:t>Six</w:t>
              </w:r>
            </w:hyperlink>
            <w:hyperlink w:anchor="i968c8d8a8fc741548799e059ce631ce9_22">
              <w:r>
                <w:rPr>
                  <w:rStyle w:val="InternetLink"/>
                  <w:rFonts w:ascii="Times New Roman;serif" w:hAnsi="Times New Roman;serif"/>
                  <w:b w:val="false"/>
                  <w:color w:val="000080"/>
                  <w:sz w:val="20"/>
                  <w:u w:val="single"/>
                </w:rPr>
                <w:t xml:space="preserve"> Months Ended </w:t>
              </w:r>
            </w:hyperlink>
            <w:hyperlink w:anchor="i968c8d8a8fc741548799e059ce631ce9_22">
              <w:r>
                <w:rPr>
                  <w:rStyle w:val="InternetLink"/>
                  <w:rFonts w:ascii="Times New Roman;serif" w:hAnsi="Times New Roman;serif"/>
                  <w:b w:val="false"/>
                  <w:color w:val="000080"/>
                  <w:sz w:val="20"/>
                  <w:u w:val="single"/>
                </w:rPr>
                <w:t>June</w:t>
              </w:r>
            </w:hyperlink>
            <w:hyperlink w:anchor="i968c8d8a8fc741548799e059ce631ce9_22">
              <w:r>
                <w:rPr>
                  <w:rStyle w:val="InternetLink"/>
                  <w:rFonts w:ascii="Times New Roman;serif" w:hAnsi="Times New Roman;serif"/>
                  <w:b w:val="false"/>
                  <w:color w:val="000080"/>
                  <w:sz w:val="20"/>
                  <w:u w:val="single"/>
                </w:rPr>
                <w:t xml:space="preserve"> 3</w:t>
              </w:r>
            </w:hyperlink>
            <w:hyperlink w:anchor="i968c8d8a8fc741548799e059ce631ce9_22">
              <w:r>
                <w:rPr>
                  <w:rStyle w:val="InternetLink"/>
                  <w:rFonts w:ascii="Times New Roman;serif" w:hAnsi="Times New Roman;serif"/>
                  <w:b w:val="false"/>
                  <w:color w:val="000080"/>
                  <w:sz w:val="20"/>
                  <w:u w:val="single"/>
                </w:rPr>
                <w:t>0</w:t>
              </w:r>
            </w:hyperlink>
            <w:hyperlink w:anchor="i968c8d8a8fc741548799e059ce631ce9_22">
              <w:r>
                <w:rPr>
                  <w:rStyle w:val="InternetLink"/>
                  <w:rFonts w:ascii="Times New Roman;serif" w:hAnsi="Times New Roman;serif"/>
                  <w:b w:val="false"/>
                  <w:color w:val="000080"/>
                  <w:sz w:val="20"/>
                  <w:u w:val="single"/>
                </w:rPr>
                <w:t>, 2026 and 2025</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22">
              <w:r>
                <w:rPr>
                  <w:rStyle w:val="InternetLink"/>
                  <w:rFonts w:ascii="Times New Roman;serif" w:hAnsi="Times New Roman;serif"/>
                  <w:b w:val="false"/>
                  <w:color w:val="0000FF"/>
                  <w:sz w:val="20"/>
                  <w:u w:val="single"/>
                </w:rPr>
                <w:t>5</w:t>
              </w:r>
            </w:hyperlink>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25">
              <w:r>
                <w:rPr>
                  <w:rStyle w:val="InternetLink"/>
                  <w:rFonts w:ascii="Times New Roman;serif" w:hAnsi="Times New Roman;serif"/>
                  <w:b w:val="false"/>
                  <w:color w:val="000080"/>
                  <w:sz w:val="20"/>
                  <w:u w:val="single"/>
                </w:rPr>
                <w:t>Condensed Consolidated Statements of Comprehensive Income for the</w:t>
              </w:r>
            </w:hyperlink>
            <w:hyperlink w:anchor="i968c8d8a8fc741548799e059ce631ce9_25">
              <w:r>
                <w:rPr>
                  <w:rStyle w:val="InternetLink"/>
                  <w:rFonts w:ascii="Times New Roman;serif" w:hAnsi="Times New Roman;serif"/>
                  <w:b w:val="false"/>
                  <w:color w:val="000080"/>
                  <w:sz w:val="20"/>
                  <w:u w:val="single"/>
                </w:rPr>
                <w:t xml:space="preserve"> Three and</w:t>
              </w:r>
            </w:hyperlink>
            <w:hyperlink w:anchor="i968c8d8a8fc741548799e059ce631ce9_25">
              <w:r>
                <w:rPr>
                  <w:rStyle w:val="InternetLink"/>
                  <w:rFonts w:ascii="Times New Roman;serif" w:hAnsi="Times New Roman;serif"/>
                  <w:b w:val="false"/>
                  <w:color w:val="000080"/>
                  <w:sz w:val="20"/>
                  <w:u w:val="single"/>
                </w:rPr>
                <w:t xml:space="preserve"> </w:t>
              </w:r>
            </w:hyperlink>
            <w:hyperlink w:anchor="i968c8d8a8fc741548799e059ce631ce9_25">
              <w:r>
                <w:rPr>
                  <w:rStyle w:val="InternetLink"/>
                  <w:rFonts w:ascii="Times New Roman;serif" w:hAnsi="Times New Roman;serif"/>
                  <w:b w:val="false"/>
                  <w:color w:val="000080"/>
                  <w:sz w:val="20"/>
                  <w:u w:val="single"/>
                </w:rPr>
                <w:t>Six</w:t>
              </w:r>
            </w:hyperlink>
            <w:hyperlink w:anchor="i968c8d8a8fc741548799e059ce631ce9_25">
              <w:r>
                <w:rPr>
                  <w:rStyle w:val="InternetLink"/>
                  <w:rFonts w:ascii="Times New Roman;serif" w:hAnsi="Times New Roman;serif"/>
                  <w:b w:val="false"/>
                  <w:color w:val="000080"/>
                  <w:sz w:val="20"/>
                  <w:u w:val="single"/>
                </w:rPr>
                <w:t xml:space="preserve"> Months Ended </w:t>
              </w:r>
            </w:hyperlink>
            <w:hyperlink w:anchor="i968c8d8a8fc741548799e059ce631ce9_25">
              <w:r>
                <w:rPr>
                  <w:rStyle w:val="InternetLink"/>
                  <w:rFonts w:ascii="Times New Roman;serif" w:hAnsi="Times New Roman;serif"/>
                  <w:b w:val="false"/>
                  <w:color w:val="000080"/>
                  <w:sz w:val="20"/>
                  <w:u w:val="single"/>
                </w:rPr>
                <w:t>June</w:t>
              </w:r>
            </w:hyperlink>
            <w:hyperlink w:anchor="i968c8d8a8fc741548799e059ce631ce9_25">
              <w:r>
                <w:rPr>
                  <w:rStyle w:val="InternetLink"/>
                  <w:rFonts w:ascii="Times New Roman;serif" w:hAnsi="Times New Roman;serif"/>
                  <w:b w:val="false"/>
                  <w:color w:val="000080"/>
                  <w:sz w:val="20"/>
                  <w:u w:val="single"/>
                </w:rPr>
                <w:t xml:space="preserve"> 3</w:t>
              </w:r>
            </w:hyperlink>
            <w:hyperlink w:anchor="i968c8d8a8fc741548799e059ce631ce9_25">
              <w:r>
                <w:rPr>
                  <w:rStyle w:val="InternetLink"/>
                  <w:rFonts w:ascii="Times New Roman;serif" w:hAnsi="Times New Roman;serif"/>
                  <w:b w:val="false"/>
                  <w:color w:val="000080"/>
                  <w:sz w:val="20"/>
                  <w:u w:val="single"/>
                </w:rPr>
                <w:t>0</w:t>
              </w:r>
            </w:hyperlink>
            <w:hyperlink w:anchor="i968c8d8a8fc741548799e059ce631ce9_25">
              <w:r>
                <w:rPr>
                  <w:rStyle w:val="InternetLink"/>
                  <w:rFonts w:ascii="Times New Roman;serif" w:hAnsi="Times New Roman;serif"/>
                  <w:b w:val="false"/>
                  <w:color w:val="000080"/>
                  <w:sz w:val="20"/>
                  <w:u w:val="single"/>
                </w:rPr>
                <w:t>, 2026 and 2025</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25">
              <w:r>
                <w:rPr>
                  <w:rStyle w:val="InternetLink"/>
                  <w:rFonts w:ascii="Times New Roman;serif" w:hAnsi="Times New Roman;serif"/>
                  <w:b w:val="false"/>
                  <w:color w:val="0000FF"/>
                  <w:sz w:val="20"/>
                  <w:u w:val="single"/>
                </w:rPr>
                <w:t>6</w:t>
              </w:r>
            </w:hyperlink>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28">
              <w:r>
                <w:rPr>
                  <w:rStyle w:val="InternetLink"/>
                  <w:rFonts w:ascii="Times New Roman;serif" w:hAnsi="Times New Roman;serif"/>
                  <w:b w:val="false"/>
                  <w:color w:val="000080"/>
                  <w:sz w:val="20"/>
                  <w:u w:val="single"/>
                </w:rPr>
                <w:t xml:space="preserve">Condensed Consolidated Statements of Cash Flows for the </w:t>
              </w:r>
            </w:hyperlink>
            <w:hyperlink w:anchor="i968c8d8a8fc741548799e059ce631ce9_28">
              <w:r>
                <w:rPr>
                  <w:rStyle w:val="InternetLink"/>
                  <w:rFonts w:ascii="Times New Roman;serif" w:hAnsi="Times New Roman;serif"/>
                  <w:b w:val="false"/>
                  <w:color w:val="000080"/>
                  <w:sz w:val="20"/>
                  <w:u w:val="single"/>
                </w:rPr>
                <w:t>Six</w:t>
              </w:r>
            </w:hyperlink>
            <w:hyperlink w:anchor="i968c8d8a8fc741548799e059ce631ce9_28">
              <w:r>
                <w:rPr>
                  <w:rStyle w:val="InternetLink"/>
                  <w:rFonts w:ascii="Times New Roman;serif" w:hAnsi="Times New Roman;serif"/>
                  <w:b w:val="false"/>
                  <w:color w:val="000080"/>
                  <w:sz w:val="20"/>
                  <w:u w:val="single"/>
                </w:rPr>
                <w:t xml:space="preserve"> Months Ended </w:t>
              </w:r>
            </w:hyperlink>
            <w:hyperlink w:anchor="i968c8d8a8fc741548799e059ce631ce9_28">
              <w:r>
                <w:rPr>
                  <w:rStyle w:val="InternetLink"/>
                  <w:rFonts w:ascii="Times New Roman;serif" w:hAnsi="Times New Roman;serif"/>
                  <w:b w:val="false"/>
                  <w:color w:val="000080"/>
                  <w:sz w:val="20"/>
                  <w:u w:val="single"/>
                </w:rPr>
                <w:t>June</w:t>
              </w:r>
            </w:hyperlink>
            <w:hyperlink w:anchor="i968c8d8a8fc741548799e059ce631ce9_28">
              <w:r>
                <w:rPr>
                  <w:rStyle w:val="InternetLink"/>
                  <w:rFonts w:ascii="Times New Roman;serif" w:hAnsi="Times New Roman;serif"/>
                  <w:b w:val="false"/>
                  <w:color w:val="000080"/>
                  <w:sz w:val="20"/>
                  <w:u w:val="single"/>
                </w:rPr>
                <w:t xml:space="preserve"> 3</w:t>
              </w:r>
            </w:hyperlink>
            <w:hyperlink w:anchor="i968c8d8a8fc741548799e059ce631ce9_28">
              <w:r>
                <w:rPr>
                  <w:rStyle w:val="InternetLink"/>
                  <w:rFonts w:ascii="Times New Roman;serif" w:hAnsi="Times New Roman;serif"/>
                  <w:b w:val="false"/>
                  <w:color w:val="000080"/>
                  <w:sz w:val="20"/>
                  <w:u w:val="single"/>
                </w:rPr>
                <w:t>0</w:t>
              </w:r>
            </w:hyperlink>
            <w:hyperlink w:anchor="i968c8d8a8fc741548799e059ce631ce9_28">
              <w:r>
                <w:rPr>
                  <w:rStyle w:val="InternetLink"/>
                  <w:rFonts w:ascii="Times New Roman;serif" w:hAnsi="Times New Roman;serif"/>
                  <w:b w:val="false"/>
                  <w:color w:val="000080"/>
                  <w:sz w:val="20"/>
                  <w:u w:val="single"/>
                </w:rPr>
                <w:t>, 2026 and 2025</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28">
              <w:r>
                <w:rPr>
                  <w:rStyle w:val="InternetLink"/>
                  <w:rFonts w:ascii="Times New Roman;serif" w:hAnsi="Times New Roman;serif"/>
                  <w:b w:val="false"/>
                  <w:color w:val="1B10FF"/>
                  <w:sz w:val="20"/>
                  <w:u w:val="single"/>
                </w:rPr>
                <w:t>7</w:t>
              </w:r>
            </w:hyperlink>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31">
              <w:r>
                <w:rPr>
                  <w:rStyle w:val="InternetLink"/>
                  <w:rFonts w:ascii="Times New Roman;serif" w:hAnsi="Times New Roman;serif"/>
                  <w:b w:val="false"/>
                  <w:color w:val="0000FF"/>
                  <w:sz w:val="20"/>
                  <w:u w:val="single"/>
                </w:rPr>
                <w:t>Notes to Condensed Consolidated Financial Statements</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31">
              <w:r>
                <w:rPr>
                  <w:rStyle w:val="InternetLink"/>
                  <w:rFonts w:ascii="Times New Roman;serif" w:hAnsi="Times New Roman;serif"/>
                  <w:b w:val="false"/>
                  <w:color w:val="1B10FF"/>
                  <w:sz w:val="20"/>
                  <w:u w:val="single"/>
                </w:rPr>
                <w:t>8</w:t>
              </w:r>
            </w:hyperlink>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88">
              <w:r>
                <w:rPr>
                  <w:rStyle w:val="InternetLink"/>
                  <w:rFonts w:ascii="Times New Roman;serif" w:hAnsi="Times New Roman;serif"/>
                  <w:b w:val="false"/>
                  <w:color w:val="0000FF"/>
                  <w:sz w:val="20"/>
                  <w:u w:val="single"/>
                </w:rPr>
                <w:t>34</w:t>
              </w:r>
            </w:hyperlink>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1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115">
              <w:r>
                <w:rPr>
                  <w:rStyle w:val="InternetLink"/>
                  <w:rFonts w:ascii="Times New Roman;serif" w:hAnsi="Times New Roman;serif"/>
                  <w:b w:val="false"/>
                  <w:color w:val="0000FF"/>
                  <w:sz w:val="20"/>
                  <w:u w:val="single"/>
                </w:rPr>
                <w:t>Quantitative and Qualitative Disclosures about Market Risk</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115">
              <w:r>
                <w:rPr>
                  <w:rStyle w:val="InternetLink"/>
                  <w:rFonts w:ascii="Times New Roman;serif" w:hAnsi="Times New Roman;serif"/>
                  <w:b w:val="false"/>
                  <w:color w:val="0000FF"/>
                  <w:sz w:val="20"/>
                  <w:u w:val="single"/>
                </w:rPr>
                <w:t>48</w:t>
              </w:r>
            </w:hyperlink>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1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118">
              <w:r>
                <w:rPr>
                  <w:rStyle w:val="InternetLink"/>
                  <w:rFonts w:ascii="Times New Roman;serif" w:hAnsi="Times New Roman;serif"/>
                  <w:b w:val="false"/>
                  <w:color w:val="0000FF"/>
                  <w:sz w:val="20"/>
                  <w:u w:val="single"/>
                </w:rPr>
                <w:t>Controls and Procedures</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118">
              <w:r>
                <w:rPr>
                  <w:rStyle w:val="InternetLink"/>
                  <w:rFonts w:ascii="Times New Roman;serif" w:hAnsi="Times New Roman;serif"/>
                  <w:b w:val="false"/>
                  <w:color w:val="0000FF"/>
                  <w:sz w:val="20"/>
                  <w:u w:val="single"/>
                </w:rPr>
                <w:t>48</w:t>
              </w:r>
            </w:hyperlink>
          </w:p>
        </w:tc>
      </w:tr>
      <w:tr>
        <w:trPr/>
        <w:tc>
          <w:tcPr>
            <w:tcW w:w="18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121">
              <w:r>
                <w:rPr>
                  <w:rStyle w:val="InternetLink"/>
                  <w:rFonts w:ascii="Times New Roman;serif" w:hAnsi="Times New Roman;serif"/>
                  <w:b/>
                  <w:color w:val="0000FF"/>
                  <w:sz w:val="20"/>
                  <w:u w:val="single"/>
                </w:rPr>
                <w:t>PART II. OTHER INFORMATION:</w:t>
              </w:r>
            </w:hyperlink>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124">
              <w:r>
                <w:rPr>
                  <w:rStyle w:val="InternetLink"/>
                  <w:rFonts w:ascii="Times New Roman;serif" w:hAnsi="Times New Roman;serif"/>
                  <w:b w:val="false"/>
                  <w:color w:val="0000FF"/>
                  <w:sz w:val="20"/>
                  <w:u w:val="single"/>
                </w:rPr>
                <w:t>Legal Proceedings</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124">
              <w:r>
                <w:rPr>
                  <w:rStyle w:val="InternetLink"/>
                  <w:rFonts w:ascii="Times New Roman;serif" w:hAnsi="Times New Roman;serif"/>
                  <w:b w:val="false"/>
                  <w:color w:val="0000FF"/>
                  <w:sz w:val="20"/>
                  <w:u w:val="single"/>
                </w:rPr>
                <w:t>49</w:t>
              </w:r>
            </w:hyperlink>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1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127">
              <w:r>
                <w:rPr>
                  <w:rStyle w:val="InternetLink"/>
                  <w:rFonts w:ascii="Times New Roman;serif" w:hAnsi="Times New Roman;serif"/>
                  <w:b w:val="false"/>
                  <w:color w:val="0000FF"/>
                  <w:sz w:val="20"/>
                  <w:u w:val="single"/>
                </w:rPr>
                <w:t>Risk Factors</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127">
              <w:r>
                <w:rPr>
                  <w:rStyle w:val="InternetLink"/>
                  <w:rFonts w:ascii="Times New Roman;serif" w:hAnsi="Times New Roman;serif"/>
                  <w:b w:val="false"/>
                  <w:color w:val="0000FF"/>
                  <w:sz w:val="20"/>
                  <w:u w:val="single"/>
                </w:rPr>
                <w:t>49</w:t>
              </w:r>
            </w:hyperlink>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130">
              <w:r>
                <w:rPr>
                  <w:rStyle w:val="InternetLink"/>
                  <w:rFonts w:ascii="Times New Roman;serif" w:hAnsi="Times New Roman;serif"/>
                  <w:b w:val="false"/>
                  <w:color w:val="0000FF"/>
                  <w:sz w:val="20"/>
                  <w:u w:val="single"/>
                </w:rPr>
                <w:t>Unregistered Sales of Equity Securities and Use of Proceeds</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130">
              <w:r>
                <w:rPr>
                  <w:rStyle w:val="InternetLink"/>
                  <w:rFonts w:ascii="Times New Roman;serif" w:hAnsi="Times New Roman;serif"/>
                  <w:b w:val="false"/>
                  <w:color w:val="0000FF"/>
                  <w:sz w:val="20"/>
                  <w:u w:val="single"/>
                </w:rPr>
                <w:t>49</w:t>
              </w:r>
            </w:hyperlink>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1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133">
              <w:r>
                <w:rPr>
                  <w:rStyle w:val="InternetLink"/>
                  <w:rFonts w:ascii="Times New Roman;serif" w:hAnsi="Times New Roman;serif"/>
                  <w:b w:val="false"/>
                  <w:color w:val="0000FF"/>
                  <w:sz w:val="20"/>
                  <w:u w:val="single"/>
                </w:rPr>
                <w:t>Other Information</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130">
              <w:r>
                <w:rPr>
                  <w:rStyle w:val="InternetLink"/>
                  <w:rFonts w:ascii="Times New Roman;serif" w:hAnsi="Times New Roman;serif"/>
                  <w:b w:val="false"/>
                  <w:color w:val="0000FF"/>
                  <w:sz w:val="20"/>
                  <w:u w:val="single"/>
                </w:rPr>
                <w:t>49</w:t>
              </w:r>
            </w:hyperlink>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1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136">
              <w:r>
                <w:rPr>
                  <w:rStyle w:val="InternetLink"/>
                  <w:rFonts w:ascii="Times New Roman;serif" w:hAnsi="Times New Roman;serif"/>
                  <w:b w:val="false"/>
                  <w:color w:val="0000FF"/>
                  <w:sz w:val="20"/>
                  <w:u w:val="single"/>
                </w:rPr>
                <w:t>Exhibits</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136">
              <w:r>
                <w:rPr>
                  <w:rStyle w:val="InternetLink"/>
                  <w:rFonts w:ascii="Times New Roman;serif" w:hAnsi="Times New Roman;serif"/>
                  <w:b w:val="false"/>
                  <w:color w:val="0000FF"/>
                  <w:sz w:val="20"/>
                  <w:u w:val="single"/>
                </w:rPr>
                <w:t>50</w:t>
              </w:r>
            </w:hyperlink>
          </w:p>
        </w:tc>
      </w:tr>
      <w:tr>
        <w:trPr/>
        <w:tc>
          <w:tcPr>
            <w:tcW w:w="18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68c8d8a8fc741548799e059ce631ce9_139">
              <w:r>
                <w:rPr>
                  <w:rStyle w:val="InternetLink"/>
                  <w:rFonts w:ascii="Times New Roman;serif" w:hAnsi="Times New Roman;serif"/>
                  <w:b/>
                  <w:color w:val="0000FF"/>
                  <w:sz w:val="20"/>
                  <w:u w:val="single"/>
                </w:rPr>
                <w:t>SIGNATURES</w:t>
              </w:r>
            </w:hyperlink>
          </w:p>
        </w:tc>
        <w:tc>
          <w:tcPr>
            <w:tcW w:w="13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c8d8a8fc741548799e059ce631ce9_139">
              <w:r>
                <w:rPr>
                  <w:rStyle w:val="InternetLink"/>
                  <w:rFonts w:ascii="Times New Roman;serif" w:hAnsi="Times New Roman;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AGCO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millions, except share amounts)</w:t>
      </w:r>
    </w:p>
    <w:tbl>
      <w:tblPr>
        <w:tblW w:w="10205" w:type="dxa"/>
        <w:jc w:val="left"/>
        <w:tblInd w:w="0" w:type="dxa"/>
        <w:tblLayout w:type="fixed"/>
        <w:tblCellMar>
          <w:top w:w="28" w:type="dxa"/>
          <w:left w:w="28" w:type="dxa"/>
          <w:bottom w:w="28" w:type="dxa"/>
          <w:right w:w="28" w:type="dxa"/>
        </w:tblCellMar>
      </w:tblPr>
      <w:tblGrid>
        <w:gridCol w:w="2660"/>
        <w:gridCol w:w="2027"/>
        <w:gridCol w:w="2017"/>
        <w:gridCol w:w="249"/>
        <w:gridCol w:w="996"/>
        <w:gridCol w:w="138"/>
        <w:gridCol w:w="134"/>
        <w:gridCol w:w="134"/>
        <w:gridCol w:w="134"/>
        <w:gridCol w:w="296"/>
        <w:gridCol w:w="1182"/>
        <w:gridCol w:w="238"/>
      </w:tblGrid>
      <w:tr>
        <w:trPr/>
        <w:tc>
          <w:tcPr>
            <w:tcW w:w="2660"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and notes receivable,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5,196.1 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lease assets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affiliates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11,878.4 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11,927.8 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REDEEMABLE NONCONTROLLING INTERESTS AND STOCKHOLDERS’ EQUITY</w:t>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due within one year</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4,041.2 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3,729.1 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 and debt issuance costs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health care benefits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7,355.1 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Commitments and contingencies (</w:t>
            </w:r>
            <w:hyperlink w:anchor="i968c8d8a8fc741548799e059ce631ce9_76">
              <w:r>
                <w:rPr>
                  <w:rStyle w:val="InternetLink"/>
                  <w:rFonts w:ascii="Times New Roman;serif" w:hAnsi="Times New Roman;serif"/>
                  <w:b w:val="false"/>
                  <w:color w:val="0000FF"/>
                  <w:sz w:val="18"/>
                  <w:u w:val="single"/>
                </w:rPr>
                <w:t>Note 15</w:t>
              </w:r>
            </w:hyperlink>
            <w:r>
              <w:rPr>
                <w:rFonts w:ascii="Times New Roman;serif" w:hAnsi="Times New Roman;serif"/>
                <w:b w:val="false"/>
                <w:color w:val="000000"/>
                <w:sz w:val="18"/>
              </w:rPr>
              <w:t>)</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1,000,000 shares authorized, no shares issued or outstanding in 2026 and 2025</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150,000,000 shares authorized, 70,002,207 and 72,629,310 shares issued and outstanding at June 30, 2026 and December 31, 2025, respectively</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6,047.2 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4,080.6 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redeemable noncontrolling interests and stockholders’ equity</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11,878.4 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11,927.8 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AGCO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millions, except per share data)</w:t>
      </w:r>
    </w:p>
    <w:tbl>
      <w:tblPr>
        <w:tblW w:w="9631" w:type="dxa"/>
        <w:jc w:val="left"/>
        <w:tblInd w:w="0" w:type="dxa"/>
        <w:tblLayout w:type="fixed"/>
        <w:tblCellMar>
          <w:top w:w="28" w:type="dxa"/>
          <w:left w:w="28" w:type="dxa"/>
          <w:bottom w:w="28" w:type="dxa"/>
          <w:right w:w="28" w:type="dxa"/>
        </w:tblCellMar>
      </w:tblPr>
      <w:tblGrid>
        <w:gridCol w:w="2479"/>
        <w:gridCol w:w="2168"/>
        <w:gridCol w:w="2193"/>
        <w:gridCol w:w="211"/>
        <w:gridCol w:w="766"/>
        <w:gridCol w:w="109"/>
        <w:gridCol w:w="109"/>
        <w:gridCol w:w="109"/>
        <w:gridCol w:w="109"/>
        <w:gridCol w:w="211"/>
        <w:gridCol w:w="766"/>
        <w:gridCol w:w="401"/>
      </w:tblGrid>
      <w:tr>
        <w:trPr/>
        <w:tc>
          <w:tcPr>
            <w:tcW w:w="2479"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Restructuring and business optimization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net earnings of affiliates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equity in net earnings of affiliates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Equity in net earnings of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AGCO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attributable to AGCO Corporation:</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4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and paid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4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and common equivalent shares outstanding:</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4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AGCO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millions, except per share data)</w:t>
      </w:r>
    </w:p>
    <w:tbl>
      <w:tblPr>
        <w:tblW w:w="9631" w:type="dxa"/>
        <w:jc w:val="center"/>
        <w:tblInd w:w="0" w:type="dxa"/>
        <w:tblLayout w:type="fixed"/>
        <w:tblCellMar>
          <w:top w:w="28" w:type="dxa"/>
          <w:left w:w="28" w:type="dxa"/>
          <w:bottom w:w="28" w:type="dxa"/>
          <w:right w:w="28" w:type="dxa"/>
        </w:tblCellMar>
      </w:tblPr>
      <w:tblGrid>
        <w:gridCol w:w="2479"/>
        <w:gridCol w:w="2168"/>
        <w:gridCol w:w="2193"/>
        <w:gridCol w:w="211"/>
        <w:gridCol w:w="766"/>
        <w:gridCol w:w="109"/>
        <w:gridCol w:w="109"/>
        <w:gridCol w:w="109"/>
        <w:gridCol w:w="109"/>
        <w:gridCol w:w="211"/>
        <w:gridCol w:w="766"/>
        <w:gridCol w:w="401"/>
      </w:tblGrid>
      <w:tr>
        <w:trPr/>
        <w:tc>
          <w:tcPr>
            <w:tcW w:w="2479"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4,685.5 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1,179.2 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Restructuring and business optimization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net earnings of affiliates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equity in net earnings of affiliates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Equity in net earnings of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AGCO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attributable to AGCO Corporation:</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4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and paid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4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and common equivalent shares outstanding:</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4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AGCO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millions)</w:t>
      </w:r>
    </w:p>
    <w:tbl>
      <w:tblPr>
        <w:tblW w:w="8383" w:type="dxa"/>
        <w:jc w:val="center"/>
        <w:tblInd w:w="0" w:type="dxa"/>
        <w:tblLayout w:type="fixed"/>
        <w:tblCellMar>
          <w:top w:w="28" w:type="dxa"/>
          <w:left w:w="28" w:type="dxa"/>
          <w:bottom w:w="28" w:type="dxa"/>
          <w:right w:w="28" w:type="dxa"/>
        </w:tblCellMar>
      </w:tblPr>
      <w:tblGrid>
        <w:gridCol w:w="2069"/>
        <w:gridCol w:w="1815"/>
        <w:gridCol w:w="1830"/>
        <w:gridCol w:w="263"/>
        <w:gridCol w:w="638"/>
        <w:gridCol w:w="136"/>
        <w:gridCol w:w="136"/>
        <w:gridCol w:w="136"/>
        <w:gridCol w:w="136"/>
        <w:gridCol w:w="263"/>
        <w:gridCol w:w="769"/>
        <w:gridCol w:w="192"/>
      </w:tblGrid>
      <w:tr>
        <w:trPr/>
        <w:tc>
          <w:tcPr>
            <w:tcW w:w="206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Defined pension and postretirement benefit plans, net of tax</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gains and losses on derivatives, net of tax</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noncontrolling interests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AGCO Corporation</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142" w:type="dxa"/>
        <w:jc w:val="center"/>
        <w:tblInd w:w="0" w:type="dxa"/>
        <w:tblLayout w:type="fixed"/>
        <w:tblCellMar>
          <w:top w:w="28" w:type="dxa"/>
          <w:left w:w="28" w:type="dxa"/>
          <w:bottom w:w="28" w:type="dxa"/>
          <w:right w:w="28" w:type="dxa"/>
        </w:tblCellMar>
      </w:tblPr>
      <w:tblGrid>
        <w:gridCol w:w="2068"/>
        <w:gridCol w:w="1814"/>
        <w:gridCol w:w="1832"/>
        <w:gridCol w:w="228"/>
        <w:gridCol w:w="667"/>
        <w:gridCol w:w="118"/>
        <w:gridCol w:w="118"/>
        <w:gridCol w:w="118"/>
        <w:gridCol w:w="118"/>
        <w:gridCol w:w="228"/>
        <w:gridCol w:w="667"/>
        <w:gridCol w:w="166"/>
      </w:tblGrid>
      <w:tr>
        <w:trPr/>
        <w:tc>
          <w:tcPr>
            <w:tcW w:w="2068"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Defined pension and postretirement benefit plans, net of tax</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gains and losses on derivatives, net of tax</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noncontrolling interests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AGCO Corporation</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AGCO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millions)</w:t>
      </w:r>
    </w:p>
    <w:tbl>
      <w:tblPr>
        <w:tblW w:w="9897" w:type="dxa"/>
        <w:jc w:val="left"/>
        <w:tblInd w:w="0" w:type="dxa"/>
        <w:tblLayout w:type="fixed"/>
        <w:tblCellMar>
          <w:top w:w="28" w:type="dxa"/>
          <w:left w:w="28" w:type="dxa"/>
          <w:bottom w:w="28" w:type="dxa"/>
          <w:right w:w="28" w:type="dxa"/>
        </w:tblCellMar>
      </w:tblPr>
      <w:tblGrid>
        <w:gridCol w:w="2702"/>
        <w:gridCol w:w="2380"/>
        <w:gridCol w:w="2387"/>
        <w:gridCol w:w="228"/>
        <w:gridCol w:w="667"/>
        <w:gridCol w:w="118"/>
        <w:gridCol w:w="118"/>
        <w:gridCol w:w="118"/>
        <w:gridCol w:w="118"/>
        <w:gridCol w:w="228"/>
        <w:gridCol w:w="667"/>
        <w:gridCol w:w="166"/>
      </w:tblGrid>
      <w:tr>
        <w:trPr/>
        <w:tc>
          <w:tcPr>
            <w:tcW w:w="2702"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(used in) operating activities: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earnings of affiliates, net of cash received</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investments in unconsolidated affiliates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indebtedness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indebtedness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retirement of common stock</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dividends to stockholders </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minimum tax withholdings on stock compensation</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cash equivalents and restricted cash</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AGCO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condensed consolidated financial statements of AGCO Corporation and its subsidiaries (the “Company” or “AGCO”) included herein have been prepared in accordance with United States generally accepted accounting principles (“U.S. GAAP”) for interim financial information and the rules and regulations of the Securities and Exchange Commission. In the opinion of management, the accompanying unaudited condensed consolidated financial statements reflect all adjustments, which are of a normal recurring nature, necessary to present fairly the Company’s financial position, results of operations, comprehensive income and cash flows at the dates and for the periods presented. These condensed consolidated financial statements should be read in conjunction with the Company’s audited consolidated financial statements and the notes thereto included in the Company’s Annual Report on Form 10-K for the year ended December 31, 2025. Results for interim periods are not necessarily indicative of the results for the year. Certain prior-period amounts have been reclassified in the accompanying condensed consolidated financial statements and notes thereto in order to conform to the current period presentation.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has a wholly-owned subsidiary in Turkey that distributes agricultural equipment and replacement parts. On the basis of available data related to inflation indices and as a result of the devaluation of the Turkish lira relative to the United States dollar, the Turkish economy was determined to be highly inflationary during 2022. A highly inflationary economy is one where the cumulative inflation rate for the three years preceding the beginning of the reporting period, including interim reporting periods, is in excess of 100 percent. For subsidiaries operating in highly inflationary economies, the United States dollar is the functional currency. Remeasurement adjustments for financial statements in highly inflationary economies and other transactional exchange gains and losses are reported in “Other expense, net” within the Company's Condensed Consolidated Statements of Operations. For the six months ended and as of June 30, 2026, the Company's wholly-owned subsidiary in Turkey had net sales of approximately $72.5 million and total assets of approximately 5.1 billion Turkish lira (or approximately $109.7 million). The monetary assets and liabilities denominated in the Turkish lira were approximately 3.7 billion Turkish lira (or approximately $79.4 million) and approximately 1.6 billion Turkish lira (or approximately $34.0 million), respectively, as of June 30, 2026. The monetary assets and liabilities were remeasured into United States dollars based on exchange rates as of June 30,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has a wholly-owned subsidiary in Argentina that assembles and distributes agricultural equipment and replacement parts. In recent years, the Argentine government has substantially limited the ability of companies to transfer funds out of Argentina. Argentina's economy was determined to be highly inflationary during 2018. For the six months ended and as of June 30, 2026, the Company's wholly-owned subsidiary in Argentina had net sales of approximately $71.2 million and total assets of approximately 315.2 billion pesos (or approximately $211.2 million). The monetary assets of the Company's operations in Argentina denominated in pesos at the official government rate were approximately 68.9 billion pesos (or approximately $46.2 million), inclusive of approximately 19.1 billion pesos (or approximately $12.8 million) in cash and cash equivalents, as of June 30, 2026. The monetary liabilities of the Company's operations in Argentina denominated in pesos at the official government rate were approximately 35.2 billion pesos (or approximately $23.6 million) as of June 30, 2026. The monetary assets and liabilities were remeasured into United States dollar based on exchange rates as of June 30, 2026. The Company's finance joint venture in Argentina, AGCO Capital Argentina S.A. (“AGCO Capital”), had net monetary assets denominated in pesos at the official government rate of approximately 8.0 billion pesos (or approximately $5.4 million) as of June 30, 2026. All gains and losses resulting from AGCO Capital's remeasurement of its monetary assets and liabilities are reported in “Equity in net earnings of affiliates” within the Company's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 Accounting Pronouncements to be Adopted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disaggregation of certain expense captions into specified natural expense categories in the disclosures within the notes to the consolidated financial statements. In addition, the guidance requires disclosure of selling expenses and its definition. The amendments in the ASU are effective for annual reporting periods beginning after December 15, 2026 and interim reporting periods beginning after December 15, 2027, with early adoption permitted. The ASU will be applied prospectively with an option to simultaneously apply retrospectively. The updated standard will impact only our disclosures, with no impact to our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ACCOUNTS RECEIVABLE SALES AGREEMENTS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Company’s finance joint ventures provide retail financing and wholesale financing to its dealers. The terms of the financing arrangements offered to the Company’s dealers are similar to arrangements the finance joint ventures provide to unaffiliated third parties. In addition, the Company transfers, on an ongoing basis, a majority of its wholesale receivables in North America, Europe and Brazil to its U.S., Canadian, European and Brazilian finance joint ventures. Under the various joint venture agreements, Rabobank or its affiliates provide financing to the joint venture companies. AGCO has a 49% interest in those finance equity joint ventures. To better align with evolving market dynamics and increasing regulatory and compliance requirements, on April 30, 2026, the Company executed an Interests Purchase Agreement and Share Purchase Agreement (collectively the “Agreements”) with wholly owned subsidiaries of Rabobank to sell its 49% equity interests in the joint ventures in the U.S. and Canada, AGCO Finance LLC and AGCO Finance Canada, Ltd. (collectively the “North America AGCO Finance joint ventures”), respectively, for aggregate consideration of approximately $188.4 million. The consideration consisted of (i) approximately $168.4 million, representing the carrying value of the Company's equity interests in the North America AGCO Finance joint ventures, previously included in “Investments in affiliates” on the Company's Condensed Consolidated Balance Sheets, and (ii) approximately $20.0 million, representing the estimated future net earnings associated with the run-off of the North America AGCO Finance portfolios existing as of the transaction date, which was recognized in “Other expense, net” within the Company's Condensed Consolidated Statements of Operations during the three and six months ended June 30,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has accounts receivable sales agreements that permit the sale, on an ongoing basis, of a majority of its wholesale receivables in North America, Europe and Brazil to its U.S., Canadian, European and Brazilian finance joint ventures. The cash received from receivables sold under these accounts receivable sales agreements that remain outstanding as of June 30, 2026 and December 31, 2025 was approximately $1.8 billion and $2.1 billion, respectively.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Under the terms of the accounts receivable sales agreements in the U.S., Canada, Europe and Brazil, the Company pays the respective AGCO Finance entities a subsidized interest payment with respect to the accounts receivable sales agreements. These fees are reflected within losses on the sales of receivables included within “Other expense, net” in the Company’s Condensed Consolidated Statements of Operations. The Company does not service the receivables after the sale occurs and does not maintain any direct retained interest in the receivables. The Company reviewed its accounting for the accounts receivable sales agreements and determined that receivables sold under these agreements should be accounted for as off-balance sheet transactions.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addition, the Company sells certain trade receivables under factoring arrangements to other financial institutions around the world. The cash received from trade receivables sold under factoring arrangements that remain outstanding as of June 30, 2026 and December 31, 2025 was approximately $257.2 million and $270.5 million, respectively. Under these arrangements, the Company is required to continue to service the sold receivables at market rates. The Company does not maintain any direct retained interest in the receivables. The Company reviewed its accounting for the accounts receivable sales agreements and determined that receivables sold under these agreements should be accounted for as off-balance sheet transactions.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Losses on sales of receivables associated with the accounts receivable sales agreements discussed above, reflected within “Other expense, net” in the Company’s Condensed Consolidated Statements of Operations, were approximately $21.1 million and $39.7 million during the three and the six months ended June 30, 2026, respectively. Losses on sales of receivables associated with the accounts receivable sales agreements discussed above, reflected within “Other expense, net” in the Company’s Condensed Consolidated Statements of Operations, were approximately $19.8 million and $38.7 million during the three and the six months ended June 30, 2025, respectively.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Company’s finance joint ventures in Europe, Brazil and Australia also provide wholesale financing directly to the Company’s dealers. As of June 30, 2026 and December 31, 2025, these finance joint ventures had approximately $112.2 million and $107.5 million, respectively, of outstanding accounts receivable associated with these arrangements.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In certain foreign countries, the Company invoices its finance joint ventures directly and the finance joint ventures retain a form of title to the goods delivered to dealers until the dealer makes payment so that the finance joint ventures can recover the goods in the event of dealer or end customer default on payment. This occurs as the laws of some foreign countries do not provide for a seller’s retention of a security interest in goods in the same manner as established in the United States Uniform Commercial Code. The only right the finance joint ventures retain with respect to the title are those enabling recovery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the goods in the event of customer default on payment. The dealer or distributor may not return equipment or replacement parts to the Company while its contract with the finance joint venture is in force, and can only return the equipment to the retail finance joint venture with penalties that would generally not make it economically beneficial to do so.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GOODWILL AND OTHER INTANGIBLE ASSETS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Changes in the carrying amount of goodwill during the six months ended June 30, 2026 are summarized as follows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0"/>
        <w:gridCol w:w="693"/>
        <w:gridCol w:w="698"/>
        <w:gridCol w:w="277"/>
        <w:gridCol w:w="809"/>
        <w:gridCol w:w="142"/>
        <w:gridCol w:w="109"/>
        <w:gridCol w:w="109"/>
        <w:gridCol w:w="109"/>
        <w:gridCol w:w="272"/>
        <w:gridCol w:w="797"/>
        <w:gridCol w:w="140"/>
        <w:gridCol w:w="109"/>
        <w:gridCol w:w="109"/>
        <w:gridCol w:w="109"/>
        <w:gridCol w:w="304"/>
        <w:gridCol w:w="1106"/>
        <w:gridCol w:w="157"/>
        <w:gridCol w:w="109"/>
        <w:gridCol w:w="109"/>
        <w:gridCol w:w="109"/>
        <w:gridCol w:w="361"/>
        <w:gridCol w:w="875"/>
        <w:gridCol w:w="186"/>
        <w:gridCol w:w="109"/>
        <w:gridCol w:w="109"/>
        <w:gridCol w:w="109"/>
        <w:gridCol w:w="235"/>
        <w:gridCol w:w="854"/>
        <w:gridCol w:w="181"/>
      </w:tblGrid>
      <w:tr>
        <w:trPr/>
        <w:tc>
          <w:tcPr>
            <w:tcW w:w="8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Europe/Middle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Asia/Pacific/Africa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Goodwill is tested for impairment on an annual basis and more often if indications of impairment exist. The Company conducts its annual impairment analyses as of October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each year.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Changes in the carrying amount of acquired intangible assets during the six months ended June 30, 2026 are summarized as follows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1"/>
        <w:gridCol w:w="574"/>
        <w:gridCol w:w="577"/>
        <w:gridCol w:w="484"/>
        <w:gridCol w:w="1174"/>
        <w:gridCol w:w="251"/>
        <w:gridCol w:w="109"/>
        <w:gridCol w:w="109"/>
        <w:gridCol w:w="109"/>
        <w:gridCol w:w="373"/>
        <w:gridCol w:w="1094"/>
        <w:gridCol w:w="194"/>
        <w:gridCol w:w="109"/>
        <w:gridCol w:w="109"/>
        <w:gridCol w:w="109"/>
        <w:gridCol w:w="359"/>
        <w:gridCol w:w="1052"/>
        <w:gridCol w:w="187"/>
        <w:gridCol w:w="109"/>
        <w:gridCol w:w="109"/>
        <w:gridCol w:w="109"/>
        <w:gridCol w:w="211"/>
        <w:gridCol w:w="511"/>
        <w:gridCol w:w="109"/>
        <w:gridCol w:w="109"/>
        <w:gridCol w:w="109"/>
        <w:gridCol w:w="109"/>
        <w:gridCol w:w="211"/>
        <w:gridCol w:w="616"/>
        <w:gridCol w:w="159"/>
      </w:tblGrid>
      <w:tr>
        <w:trPr/>
        <w:tc>
          <w:tcPr>
            <w:tcW w:w="7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Gross carrying amounts:</w:t>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Trademarks and 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Patents and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1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625.5 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2"/>
        <w:gridCol w:w="626"/>
        <w:gridCol w:w="627"/>
        <w:gridCol w:w="478"/>
        <w:gridCol w:w="1159"/>
        <w:gridCol w:w="248"/>
        <w:gridCol w:w="109"/>
        <w:gridCol w:w="109"/>
        <w:gridCol w:w="109"/>
        <w:gridCol w:w="370"/>
        <w:gridCol w:w="1085"/>
        <w:gridCol w:w="192"/>
        <w:gridCol w:w="109"/>
        <w:gridCol w:w="109"/>
        <w:gridCol w:w="109"/>
        <w:gridCol w:w="356"/>
        <w:gridCol w:w="1041"/>
        <w:gridCol w:w="185"/>
        <w:gridCol w:w="109"/>
        <w:gridCol w:w="109"/>
        <w:gridCol w:w="109"/>
        <w:gridCol w:w="211"/>
        <w:gridCol w:w="511"/>
        <w:gridCol w:w="109"/>
        <w:gridCol w:w="109"/>
        <w:gridCol w:w="109"/>
        <w:gridCol w:w="109"/>
        <w:gridCol w:w="211"/>
        <w:gridCol w:w="616"/>
        <w:gridCol w:w="160"/>
      </w:tblGrid>
      <w:tr>
        <w:trPr/>
        <w:tc>
          <w:tcPr>
            <w:tcW w:w="7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Accumulated amortization:</w:t>
            </w:r>
          </w:p>
        </w:tc>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Trademarks and 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Patents and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654" w:type="dxa"/>
        <w:jc w:val="left"/>
        <w:tblInd w:w="0" w:type="dxa"/>
        <w:tblLayout w:type="fixed"/>
        <w:tblCellMar>
          <w:top w:w="28" w:type="dxa"/>
          <w:left w:w="28" w:type="dxa"/>
          <w:bottom w:w="28" w:type="dxa"/>
          <w:right w:w="28" w:type="dxa"/>
        </w:tblCellMar>
      </w:tblPr>
      <w:tblGrid>
        <w:gridCol w:w="1048"/>
        <w:gridCol w:w="921"/>
        <w:gridCol w:w="925"/>
        <w:gridCol w:w="663"/>
        <w:gridCol w:w="1609"/>
        <w:gridCol w:w="488"/>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Indefinite-lived intangible assets:</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Trademarks and Trade Names</w:t>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amortizes certain acquired identifiable intangible assets primarily on a straight-line basis over their estimated useful lives, which range from three to 50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INVENTORIES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Inventories, net at June 30, 2026 and December 31, 2025, were as follows (in millions):</w:t>
      </w:r>
    </w:p>
    <w:p>
      <w:pPr>
        <w:pStyle w:val="TextBody"/>
        <w:bidi w:val="0"/>
        <w:spacing w:before="0" w:after="0"/>
        <w:jc w:val="left"/>
        <w:rPr/>
      </w:pPr>
      <w:r>
        <w:rPr/>
      </w:r>
    </w:p>
    <w:tbl>
      <w:tblPr>
        <w:tblW w:w="5846" w:type="dxa"/>
        <w:jc w:val="left"/>
        <w:tblInd w:w="0" w:type="dxa"/>
        <w:tblLayout w:type="fixed"/>
        <w:tblCellMar>
          <w:top w:w="28" w:type="dxa"/>
          <w:left w:w="28" w:type="dxa"/>
          <w:bottom w:w="28" w:type="dxa"/>
          <w:right w:w="28" w:type="dxa"/>
        </w:tblCellMar>
      </w:tblPr>
      <w:tblGrid>
        <w:gridCol w:w="896"/>
        <w:gridCol w:w="787"/>
        <w:gridCol w:w="791"/>
        <w:gridCol w:w="247"/>
        <w:gridCol w:w="900"/>
        <w:gridCol w:w="128"/>
        <w:gridCol w:w="109"/>
        <w:gridCol w:w="109"/>
        <w:gridCol w:w="109"/>
        <w:gridCol w:w="330"/>
        <w:gridCol w:w="1199"/>
        <w:gridCol w:w="241"/>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Repair and replacement parts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At June 30, 2026 and December 31, 2025, the Company had recorded $296.0 million and $271.9 million, respectively, as a reserve for surplus and obsolete inventories. These reserves are reflected within “Inventories, net” within the Company's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PRODUCT WARRANTY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warranty reserve activity for the three and six months ended June 30, 2026 and 2025, including deferred revenue associated with the Company's extended warranties that have been sold, was as follows (in millions):</w:t>
      </w:r>
    </w:p>
    <w:p>
      <w:pPr>
        <w:pStyle w:val="TextBody"/>
        <w:bidi w:val="0"/>
        <w:spacing w:before="0" w:after="0"/>
        <w:jc w:val="left"/>
        <w:rPr/>
      </w:pPr>
      <w:r>
        <w:rPr/>
      </w:r>
    </w:p>
    <w:tbl>
      <w:tblPr>
        <w:tblW w:w="9652" w:type="dxa"/>
        <w:jc w:val="left"/>
        <w:tblInd w:w="0" w:type="dxa"/>
        <w:tblLayout w:type="fixed"/>
        <w:tblCellMar>
          <w:top w:w="28" w:type="dxa"/>
          <w:left w:w="28" w:type="dxa"/>
          <w:bottom w:w="28" w:type="dxa"/>
          <w:right w:w="28" w:type="dxa"/>
        </w:tblCellMar>
      </w:tblPr>
      <w:tblGrid>
        <w:gridCol w:w="1549"/>
        <w:gridCol w:w="1361"/>
        <w:gridCol w:w="1365"/>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5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for warranties issued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Settlements made and deferred revenue recognized </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Company’s agricultural equipment products generally are warranted against defects in material and workmanship for a period of one to four years. The Company accrues for future warranty costs at the time of sale based on historical warranty experience. The Company's extended warranty period for the majority of products ranges from three to five years. Revenue is recognized for the extended warranty contracts on a straight-line basis, which the Company believes approximates the cost expected to be incurred in satisfying the obligations, over the extended warranty period. Approximately $607.0 million, $626.6 million and $634.4 million of warranty reserves are included in “Accrued expenses” in the Company’s Condensed Consolidated Balance Sheets as of June 30, 2026, December 31, 2025 and June 30, 2025, respectively. Approximately $191.8 million, $187.7 million and $166.6 million of warranty reserves are included in “Other noncurrent liabilities” in the Company’s Condensed Consolidated Balance Sheets as of June 30, 2026, December 31, 2025 and June 30, 2025, respectively.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recognizes potential recoveries of the costs associated with warranties it provides when the collection is probable. When specifics of the recovery have been agreed upon with the Company’s suppliers through the confirmation of liability for the recovery, the Company records the recovery within “Accounts and notes receivable, net” in the Company's Condensed Consolidated Balance Sheets. Estimates of the amount of warranty claim recoveries to be received from the Company’s suppliers based upon contractual supplier arrangements are recorded within “Other current assets” in the Company's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SUPPLIER FINANCE PROGRAMS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has supplier financing arrangements with certain banks or other intermediaries whereby a bank or intermediary purchases receivables held by the Company’s suppliers. Under the program, suppliers have the option to be paid by the bank or intermediary earlier than the payment due date. When the supplier receives an early payment, they receive discounted amounts, and the Company pays the bank or intermediary the face amount of the invoice on the payment due date. The Company does not reimburse suppliers for any costs incurred for participation in the program. The Company and its suppliers agree on the contractual terms, including prices, quantities and payment terms, regardless of whether the supplier elects to participate in the supplier finance programs. The suppliers’ voluntary inclusion in the supplier financing programs has no bearing on the Company’s payment terms. The Company has no economic interest in a supplier’s decision to participate in the programs, and the Company has no direct financial relationship with the banks or other intermediaries as it relates to the supplier finance programs. As of June 30, 2026, payment terms with the majority of the Company’s suppliers are 30 to 180 days, which correspond to the contractual terms, with rates that are based on market rates (such as SOFR) plus a credit spread. There are no assets pledged as security under the programs. As of June 30, 2026 and December 31, 2025, the amounts outstanding that remain unpaid to the banks or other intermediaries totaled $41.8 million and $31.7 million, respectively, and are reflected in “Accounts payable” in the Company’s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INDEBTEDNESS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Long-term debt consisted of the following at June 30, 2026 and December 31, 2025 (in millions):</w:t>
      </w:r>
    </w:p>
    <w:p>
      <w:pPr>
        <w:pStyle w:val="TextBody"/>
        <w:bidi w:val="0"/>
        <w:spacing w:before="0" w:after="0"/>
        <w:jc w:val="left"/>
        <w:rPr/>
      </w:pPr>
      <w:r>
        <w:rPr/>
      </w:r>
    </w:p>
    <w:tbl>
      <w:tblPr>
        <w:tblW w:w="8126" w:type="dxa"/>
        <w:jc w:val="left"/>
        <w:tblInd w:w="0" w:type="dxa"/>
        <w:tblLayout w:type="fixed"/>
        <w:tblCellMar>
          <w:top w:w="28" w:type="dxa"/>
          <w:left w:w="28" w:type="dxa"/>
          <w:bottom w:w="28" w:type="dxa"/>
          <w:right w:w="28" w:type="dxa"/>
        </w:tblCellMar>
      </w:tblPr>
      <w:tblGrid>
        <w:gridCol w:w="1719"/>
        <w:gridCol w:w="1512"/>
        <w:gridCol w:w="1523"/>
        <w:gridCol w:w="247"/>
        <w:gridCol w:w="900"/>
        <w:gridCol w:w="128"/>
        <w:gridCol w:w="109"/>
        <w:gridCol w:w="109"/>
        <w:gridCol w:w="109"/>
        <w:gridCol w:w="330"/>
        <w:gridCol w:w="1199"/>
        <w:gridCol w:w="241"/>
      </w:tblGrid>
      <w:tr>
        <w:trPr/>
        <w:tc>
          <w:tcPr>
            <w:tcW w:w="1719"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expires 2027</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5.450% Senior notes due 2027</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5.800% Senior notes due 2034</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0.800%</w:t>
            </w:r>
            <w:r>
              <w:rPr>
                <w:color w:val="000000"/>
              </w:rPr>
              <w:t xml:space="preserve"> </w:t>
            </w:r>
            <w:r>
              <w:rPr>
                <w:rFonts w:ascii="Times New Roman;serif" w:hAnsi="Times New Roman;serif"/>
                <w:b w:val="false"/>
                <w:color w:val="000000"/>
                <w:sz w:val="20"/>
              </w:rPr>
              <w:t>Senior notes due 2028</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EIB Senior term loan due 2029</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EIB Senior term loan due 2030</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term loans due between 2026 and 2028</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term loans due 2026</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5.450% Senior notes due 2027, net of debt issuance costs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indebtedness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2,323.1 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has a credit facility providing for a $1.25 billion multi-currency unsecured revolving credit facility (“Credit Facility”) that matures on December 19, 2027. As of June 30, 2026, the Company had $290.0 million in outstanding borrowings under the revolving credit facility and had the ability to borrow $960.0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Uncommitted Credit Facility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has an uncommitted revolving credit facility that allows the Company to borrow up to €200.0 million (or approximately $228.0 million as of June 30, 2026). The credit facility expires on December 31, 2026. As of June 30, 2026 and December 31, 2025, the Company had no outstanding borrowings under the revolving credit facility.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Short-Term Borrowings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As of June 30, 2026 and December 31, 2025, the Company had short-term borrowings due within one year, excluding the current portion of long-term debt, of approximately $87.5 million and $56.1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Standby Letters of Credit and Similar Instruments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has arrangements with various banks to issue standby letters of credit or similar instruments, which guarantee the Company’s obligations for the purchase or sale of certain inventories and for potential claims exposure for insurance coverage. At June 30, 2026 and December 31, 2025, outstanding letters of credit totaled approximately $12.5 million and $14.0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RESTRUCTURING AND BUSINESS OPTIMIZATION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Restructuring Expenses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announced a restructuring program (the “Program”) in response to increased weakening demand in the agriculture industry in 2024. The Company incurred a substantial portion of the charges by the end of fiscal year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Restructuring expenses activity, which relates to severance and other related costs, during the three and six months ended June 30, 2026, is summarized as follows (in millions):</w:t>
      </w:r>
    </w:p>
    <w:p>
      <w:pPr>
        <w:pStyle w:val="TextBody"/>
        <w:bidi w:val="0"/>
        <w:spacing w:before="0" w:after="0"/>
        <w:jc w:val="left"/>
        <w:rPr/>
      </w:pPr>
      <w:r>
        <w:rPr/>
      </w:r>
    </w:p>
    <w:tbl>
      <w:tblPr>
        <w:tblW w:w="4806" w:type="dxa"/>
        <w:jc w:val="left"/>
        <w:tblInd w:w="0" w:type="dxa"/>
        <w:tblLayout w:type="fixed"/>
        <w:tblCellMar>
          <w:top w:w="28" w:type="dxa"/>
          <w:left w:w="28" w:type="dxa"/>
          <w:bottom w:w="28" w:type="dxa"/>
          <w:right w:w="28" w:type="dxa"/>
        </w:tblCellMar>
      </w:tblPr>
      <w:tblGrid>
        <w:gridCol w:w="1423"/>
        <w:gridCol w:w="1249"/>
        <w:gridCol w:w="1258"/>
        <w:gridCol w:w="211"/>
        <w:gridCol w:w="511"/>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2026 provision, net of reversals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2026 cash activity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quarter 2026 provision, net of reversals</w:t>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2026 cash activity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Approximately $22.9 million and $56.9 million of restructuring expenses are included in “Accrued expenses” in the Company’s Condensed Consolidated Balance Sheets as of June 30, 2026 and December 31, 2025, respectively. Approximately $22.4 million and $25.9 million of restructuring expenses are included in “Other noncurrent liabilities” in the Company’s Condensed Consolidated Balance Sheets as of June 30, 2026 and December 31,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Optimization Expenses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Business optimization expenses primarily relate to professional services costs incurred as part of the restructuring program aimed at reducing structural costs, enhancing global efficiencies by changing the Company’s operating model for certain corporate and back-office functions. During the three months ended June 30, 2026 and 2025, the Company recognized approximately $1.4 million and $13.1 million, respectively, of business optimization expenses. During the six months ended June 30, 2026 and 2025, the Company recognized approximately $3.9 million and $26.9 million, respectively, of business optimization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DERIVATIVE INSTRUMENTS AND HEDGING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 Transactions Designated as Hedging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 Hedges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Contracts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uses cash flow hedges to minimize the variability in cash flows of assets or liabilities or forecasted transactions caused by fluctuations in foreign currency exchange rates. The changes in the fair values of these cash flow hedges are recorded in accumulated other comprehensive loss and are subsequently reclassified into “Cost of goods sold” during the period the sales and purchases are recognized. These amounts offset the effect of the changes in foreign currency rates on the related sale and purchase transactions.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designates certain foreign currency contracts as cash flow hedges of expected future sales and purchases. The total notional value of derivatives that were designated as cash flow hedges was approximately $305.1 million and $210.8 million as of June 30, 2026 and December 31, 2025, respectively.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the activity in accumulated other comprehensive loss related to the derivatives held by the Company during the three months ended June 30, 2026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90"/>
        <w:gridCol w:w="1425"/>
        <w:gridCol w:w="1431"/>
        <w:gridCol w:w="109"/>
        <w:gridCol w:w="109"/>
        <w:gridCol w:w="109"/>
        <w:gridCol w:w="428"/>
        <w:gridCol w:w="824"/>
        <w:gridCol w:w="222"/>
        <w:gridCol w:w="109"/>
        <w:gridCol w:w="109"/>
        <w:gridCol w:w="109"/>
        <w:gridCol w:w="526"/>
        <w:gridCol w:w="1014"/>
        <w:gridCol w:w="275"/>
        <w:gridCol w:w="109"/>
        <w:gridCol w:w="109"/>
        <w:gridCol w:w="109"/>
        <w:gridCol w:w="378"/>
        <w:gridCol w:w="728"/>
        <w:gridCol w:w="283"/>
      </w:tblGrid>
      <w:tr>
        <w:trPr/>
        <w:tc>
          <w:tcPr>
            <w:tcW w:w="169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Before-Tax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After-Tax Amount</w:t>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derivative net gains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fair value of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contracts</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(gains) reclassified from accumulated other comprehensive loss into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contracts</w:t>
            </w:r>
            <w:r>
              <w:rPr>
                <w:rFonts w:ascii="Times New Roman;serif" w:hAnsi="Times New Roman;serif"/>
                <w:b w:val="false"/>
                <w:color w:val="000000"/>
                <w:sz w:val="10"/>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rate locks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derivative net gains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The outstanding contracts as of June 30, 2026 range in maturity through December 2026.</w:t>
      </w:r>
    </w:p>
    <w:p>
      <w:pPr>
        <w:pStyle w:val="TextBody"/>
        <w:bidi w:val="0"/>
        <w:spacing w:before="40" w:after="283"/>
        <w:ind w:left="0" w:right="0" w:hanging="27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As of June 30, 2026, approximately $0.5 million of realized derivative net losses, before taxes, remain in accumulated other comprehensive loss related to foreign currency contracts associated with inventory that had not yet been sold.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the activity in accumulated other comprehensive loss related to the derivatives held by the Company during the three months ended June 30, 2025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6"/>
        <w:gridCol w:w="1383"/>
        <w:gridCol w:w="1390"/>
        <w:gridCol w:w="109"/>
        <w:gridCol w:w="109"/>
        <w:gridCol w:w="109"/>
        <w:gridCol w:w="381"/>
        <w:gridCol w:w="925"/>
        <w:gridCol w:w="199"/>
        <w:gridCol w:w="109"/>
        <w:gridCol w:w="109"/>
        <w:gridCol w:w="109"/>
        <w:gridCol w:w="548"/>
        <w:gridCol w:w="1057"/>
        <w:gridCol w:w="286"/>
        <w:gridCol w:w="109"/>
        <w:gridCol w:w="109"/>
        <w:gridCol w:w="109"/>
        <w:gridCol w:w="386"/>
        <w:gridCol w:w="744"/>
        <w:gridCol w:w="289"/>
      </w:tblGrid>
      <w:tr>
        <w:trPr/>
        <w:tc>
          <w:tcPr>
            <w:tcW w:w="163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Before-Tax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After-Tax Amount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derivative net gains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fair value of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reclassified from accumulated other comprehensive loss into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ba1bf81d8d124221bd65d4f6113ae088_8-6-3-"/>
            <w:bookmarkEnd w:id="0"/>
            <w:r>
              <w:rPr>
                <w:rFonts w:ascii="Times New Roman;serif" w:hAnsi="Times New Roman;serif"/>
                <w:b w:val="false"/>
                <w:color w:val="000000"/>
                <w:sz w:val="20"/>
              </w:rPr>
              <w:t>(1.0)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rate locks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derivative net gains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the activity in accumulated other comprehensive loss related to the derivatives held by the Company during the six months ended June 30, 2026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2"/>
        <w:gridCol w:w="1430"/>
        <w:gridCol w:w="1434"/>
        <w:gridCol w:w="109"/>
        <w:gridCol w:w="109"/>
        <w:gridCol w:w="109"/>
        <w:gridCol w:w="428"/>
        <w:gridCol w:w="824"/>
        <w:gridCol w:w="222"/>
        <w:gridCol w:w="109"/>
        <w:gridCol w:w="109"/>
        <w:gridCol w:w="109"/>
        <w:gridCol w:w="526"/>
        <w:gridCol w:w="1014"/>
        <w:gridCol w:w="275"/>
        <w:gridCol w:w="109"/>
        <w:gridCol w:w="109"/>
        <w:gridCol w:w="109"/>
        <w:gridCol w:w="378"/>
        <w:gridCol w:w="728"/>
        <w:gridCol w:w="283"/>
      </w:tblGrid>
      <w:tr>
        <w:trPr/>
        <w:tc>
          <w:tcPr>
            <w:tcW w:w="168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Before-Tax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After-Tax Amount</w:t>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derivative net gains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changes in fair value of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contracts</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losses (gains) reclassified from accumulated other comprehensive loss into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contracts</w:t>
            </w:r>
            <w:r>
              <w:rPr>
                <w:rFonts w:ascii="Times New Roman;serif" w:hAnsi="Times New Roman;serif"/>
                <w:b w:val="false"/>
                <w:color w:val="000000"/>
                <w:sz w:val="10"/>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rate locks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derivative net gains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The outstanding contracts as of June 30, 2026 range in maturity through December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the activity in accumulated other comprehensive loss related to the derivatives held by the Company during the six months ended June 30, 2025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29"/>
        <w:gridCol w:w="1388"/>
        <w:gridCol w:w="1392"/>
        <w:gridCol w:w="109"/>
        <w:gridCol w:w="109"/>
        <w:gridCol w:w="109"/>
        <w:gridCol w:w="381"/>
        <w:gridCol w:w="925"/>
        <w:gridCol w:w="199"/>
        <w:gridCol w:w="109"/>
        <w:gridCol w:w="109"/>
        <w:gridCol w:w="109"/>
        <w:gridCol w:w="548"/>
        <w:gridCol w:w="1057"/>
        <w:gridCol w:w="286"/>
        <w:gridCol w:w="109"/>
        <w:gridCol w:w="109"/>
        <w:gridCol w:w="109"/>
        <w:gridCol w:w="386"/>
        <w:gridCol w:w="744"/>
        <w:gridCol w:w="289"/>
      </w:tblGrid>
      <w:tr>
        <w:trPr/>
        <w:tc>
          <w:tcPr>
            <w:tcW w:w="162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Before-Tax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After-Tax Amount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derivative net gains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changes in fair value of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gains reclassified from accumulated other comprehensive loss into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rate locks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derivative net gains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Investment Hedges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uses non-derivative and derivative instruments to hedge a portion of its net investment in foreign operations against adverse movements in exchange rates. For instruments that are designated as hedges of net investments in foreign operations, changes in the fair value of the derivative instruments are recorded in foreign currency translation adjustments, a component of accumulated other comprehensive loss, to offset changes in the value of the net investments being hedged. When the net investment in foreign operations is sold or substantially liquidates, the amounts recorded in accumulated other comprehensive loss are reclassified to earnings. To the extent foreign currency denominated debt is de-designated from a net investment hedge relationship, changes in the value of the foreign currency denominated debt are recorded in earnings through the maturity date.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On November 4, 2024, the Company entered into $600.0 million cross currency swap contracts comprising a $200.0 million tranche with a three-years tenor, $200.0 million tranche with a five-years tenor and $200.0 million tranche with a seven-years tenor as a hedge of its net investment in foreign operations to offset foreign currency translation gains or losses on the net investment. The cross currency swap contracts have an expiration date of November 6, 2027, November 6, 2029 and November 6, 2031, respectively. At maturity of the cross currency swap contracts, the Company is expected to deliver the notional amount of approximately €385.5 million (or approximately $439.4 million as of June 30, 2026) and Fr.155.5 million (or approximately $192.2 million as of June 30, 2026) and receive $600.0 million from the counterparties. The Company receives quarterly interest payments from the counterparties based on a fixed interest rate until maturity of the cross currency swap contracts.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the notional values of the instrument designated as a net investment hedge (in millions):</w:t>
      </w:r>
    </w:p>
    <w:p>
      <w:pPr>
        <w:pStyle w:val="TextBody"/>
        <w:bidi w:val="0"/>
        <w:spacing w:before="0" w:after="0"/>
        <w:jc w:val="left"/>
        <w:rPr/>
      </w:pPr>
      <w:r>
        <w:rPr/>
      </w:r>
    </w:p>
    <w:tbl>
      <w:tblPr>
        <w:tblW w:w="5919" w:type="dxa"/>
        <w:jc w:val="left"/>
        <w:tblInd w:w="0" w:type="dxa"/>
        <w:tblLayout w:type="fixed"/>
        <w:tblCellMar>
          <w:top w:w="28" w:type="dxa"/>
          <w:left w:w="28" w:type="dxa"/>
          <w:bottom w:w="28" w:type="dxa"/>
          <w:right w:w="28" w:type="dxa"/>
        </w:tblCellMar>
      </w:tblPr>
      <w:tblGrid>
        <w:gridCol w:w="923"/>
        <w:gridCol w:w="810"/>
        <w:gridCol w:w="816"/>
        <w:gridCol w:w="287"/>
        <w:gridCol w:w="839"/>
        <w:gridCol w:w="148"/>
        <w:gridCol w:w="109"/>
        <w:gridCol w:w="109"/>
        <w:gridCol w:w="109"/>
        <w:gridCol w:w="380"/>
        <w:gridCol w:w="1110"/>
        <w:gridCol w:w="279"/>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 as of</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 currency swap contracts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the changes in the fair value of the cross currency swap contracts designated as a net investment hedge during the three and six months ended June 30, 2026 and 2025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8"/>
        <w:gridCol w:w="193"/>
        <w:gridCol w:w="194"/>
        <w:gridCol w:w="425"/>
        <w:gridCol w:w="627"/>
        <w:gridCol w:w="132"/>
        <w:gridCol w:w="123"/>
        <w:gridCol w:w="123"/>
        <w:gridCol w:w="123"/>
        <w:gridCol w:w="363"/>
        <w:gridCol w:w="560"/>
        <w:gridCol w:w="150"/>
        <w:gridCol w:w="123"/>
        <w:gridCol w:w="123"/>
        <w:gridCol w:w="123"/>
        <w:gridCol w:w="419"/>
        <w:gridCol w:w="500"/>
        <w:gridCol w:w="129"/>
        <w:gridCol w:w="109"/>
        <w:gridCol w:w="109"/>
        <w:gridCol w:w="109"/>
        <w:gridCol w:w="109"/>
        <w:gridCol w:w="109"/>
        <w:gridCol w:w="188"/>
        <w:gridCol w:w="188"/>
        <w:gridCol w:w="188"/>
        <w:gridCol w:w="188"/>
        <w:gridCol w:w="525"/>
        <w:gridCol w:w="705"/>
        <w:gridCol w:w="195"/>
        <w:gridCol w:w="109"/>
        <w:gridCol w:w="109"/>
        <w:gridCol w:w="109"/>
        <w:gridCol w:w="311"/>
        <w:gridCol w:w="600"/>
        <w:gridCol w:w="162"/>
        <w:gridCol w:w="109"/>
        <w:gridCol w:w="109"/>
        <w:gridCol w:w="109"/>
        <w:gridCol w:w="299"/>
        <w:gridCol w:w="575"/>
        <w:gridCol w:w="234"/>
      </w:tblGrid>
      <w:tr>
        <w:trPr/>
        <w:tc>
          <w:tcPr>
            <w:tcW w:w="21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Gain (Loss) Recognized in Other Comprehensive Income for the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7"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Gain (Loss) Recognized in Other Comprehensive Income for the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2835" w:type="dxa"/>
            <w:gridSpan w:val="12"/>
            <w:tcBorders/>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Before-Tax Amount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Tax Expense (Benefit)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Before-Tax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After-Tax Amount</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 Transactions Not Designated as Hedging Instruments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enters into foreign currency contracts to economically hedge a portion of its receivables and payables on the Company and its subsidiaries’ balance sheets that are denominated in foreign currencies other than the functional currency. These contracts are classified as non-designated derivative instruments. Gains and losses on such contracts are substantially offset by losses and gains on the remeasurement of the underlying asset or liability being hedged and are immediately recognized into earnings. As of June 30, 2026 and December 31, 2025, the Company had outstanding foreign currency contracts with a notional amount of approximately $2,597.0 million and $2,865.7 million, respectively.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the results on net income of derivatives not designated as hedging instruments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6"/>
        <w:gridCol w:w="426"/>
        <w:gridCol w:w="430"/>
        <w:gridCol w:w="561"/>
        <w:gridCol w:w="561"/>
        <w:gridCol w:w="563"/>
        <w:gridCol w:w="109"/>
        <w:gridCol w:w="109"/>
        <w:gridCol w:w="109"/>
        <w:gridCol w:w="339"/>
        <w:gridCol w:w="903"/>
        <w:gridCol w:w="175"/>
        <w:gridCol w:w="175"/>
        <w:gridCol w:w="175"/>
        <w:gridCol w:w="175"/>
        <w:gridCol w:w="339"/>
        <w:gridCol w:w="821"/>
        <w:gridCol w:w="175"/>
        <w:gridCol w:w="109"/>
        <w:gridCol w:w="109"/>
        <w:gridCol w:w="109"/>
        <w:gridCol w:w="328"/>
        <w:gridCol w:w="872"/>
        <w:gridCol w:w="169"/>
        <w:gridCol w:w="169"/>
        <w:gridCol w:w="169"/>
        <w:gridCol w:w="169"/>
        <w:gridCol w:w="328"/>
        <w:gridCol w:w="795"/>
        <w:gridCol w:w="248"/>
      </w:tblGrid>
      <w:tr>
        <w:trPr/>
        <w:tc>
          <w:tcPr>
            <w:tcW w:w="4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Gain (Loss) Recognized in Net Income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Gain (Loss) Recognized in Net Income for the Six Months Ended</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Classification of</w:t>
            </w:r>
            <w:r>
              <w:rPr>
                <w:color w:val="000000"/>
              </w:rPr>
              <w:t> </w:t>
            </w:r>
            <w:r>
              <w:rPr>
                <w:rFonts w:ascii="Times New Roman;serif" w:hAnsi="Times New Roman;serif"/>
                <w:b/>
                <w:color w:val="000000"/>
                <w:sz w:val="20"/>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table below sets forth the fair value of derivative instruments as of June 30, 2026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8"/>
        <w:gridCol w:w="1114"/>
        <w:gridCol w:w="1120"/>
        <w:gridCol w:w="580"/>
        <w:gridCol w:w="531"/>
        <w:gridCol w:w="533"/>
        <w:gridCol w:w="139"/>
        <w:gridCol w:w="139"/>
        <w:gridCol w:w="139"/>
        <w:gridCol w:w="270"/>
        <w:gridCol w:w="520"/>
        <w:gridCol w:w="139"/>
        <w:gridCol w:w="109"/>
        <w:gridCol w:w="109"/>
        <w:gridCol w:w="109"/>
        <w:gridCol w:w="622"/>
        <w:gridCol w:w="573"/>
        <w:gridCol w:w="574"/>
        <w:gridCol w:w="145"/>
        <w:gridCol w:w="145"/>
        <w:gridCol w:w="145"/>
        <w:gridCol w:w="281"/>
        <w:gridCol w:w="682"/>
        <w:gridCol w:w="219"/>
      </w:tblGrid>
      <w:tr>
        <w:trPr/>
        <w:tc>
          <w:tcPr>
            <w:tcW w:w="126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Asset Derivatives as of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Liability Derivatives as of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designated as hedging instruments:</w:t>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3502"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 currency swap contracts</w:t>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not designated as hedging instruments:</w:t>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contracts</w:t>
            </w:r>
            <w:r>
              <w:rPr>
                <w:rFonts w:ascii="Times New Roman;serif" w:hAnsi="Times New Roman;serif"/>
                <w:b w:val="false"/>
                <w:color w:val="000000"/>
                <w:sz w:val="10"/>
              </w:rPr>
              <w:t>(1)</w:t>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instruments</w:t>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The outstanding contracts as of June 30, 2026 range in maturity through August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table below sets forth the fair value of derivative instruments as of December 31, 2025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7"/>
        <w:gridCol w:w="1060"/>
        <w:gridCol w:w="1066"/>
        <w:gridCol w:w="569"/>
        <w:gridCol w:w="515"/>
        <w:gridCol w:w="516"/>
        <w:gridCol w:w="138"/>
        <w:gridCol w:w="138"/>
        <w:gridCol w:w="138"/>
        <w:gridCol w:w="269"/>
        <w:gridCol w:w="652"/>
        <w:gridCol w:w="145"/>
        <w:gridCol w:w="109"/>
        <w:gridCol w:w="109"/>
        <w:gridCol w:w="109"/>
        <w:gridCol w:w="688"/>
        <w:gridCol w:w="553"/>
        <w:gridCol w:w="555"/>
        <w:gridCol w:w="150"/>
        <w:gridCol w:w="150"/>
        <w:gridCol w:w="150"/>
        <w:gridCol w:w="291"/>
        <w:gridCol w:w="706"/>
        <w:gridCol w:w="222"/>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Asset Derivatives as of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Liability Derivatives as of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designated as hedging instruments:</w:t>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 currency swap contracts</w:t>
            </w:r>
          </w:p>
        </w:tc>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not designated as hedging instruments:</w:t>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instruments</w:t>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The following tables set forth changes in redeemable noncontrolling interests and stockholders’ equity attributed to AGCO Corporation for the three and six months ended June 30, 2026 and 2025 (in millions):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68"/>
        <w:gridCol w:w="404"/>
        <w:gridCol w:w="406"/>
        <w:gridCol w:w="308"/>
        <w:gridCol w:w="901"/>
        <w:gridCol w:w="160"/>
        <w:gridCol w:w="109"/>
        <w:gridCol w:w="109"/>
        <w:gridCol w:w="109"/>
        <w:gridCol w:w="222"/>
        <w:gridCol w:w="428"/>
        <w:gridCol w:w="116"/>
        <w:gridCol w:w="109"/>
        <w:gridCol w:w="109"/>
        <w:gridCol w:w="109"/>
        <w:gridCol w:w="230"/>
        <w:gridCol w:w="557"/>
        <w:gridCol w:w="119"/>
        <w:gridCol w:w="109"/>
        <w:gridCol w:w="109"/>
        <w:gridCol w:w="109"/>
        <w:gridCol w:w="211"/>
        <w:gridCol w:w="766"/>
        <w:gridCol w:w="109"/>
        <w:gridCol w:w="109"/>
        <w:gridCol w:w="109"/>
        <w:gridCol w:w="109"/>
        <w:gridCol w:w="240"/>
        <w:gridCol w:w="889"/>
        <w:gridCol w:w="124"/>
        <w:gridCol w:w="109"/>
        <w:gridCol w:w="109"/>
        <w:gridCol w:w="109"/>
        <w:gridCol w:w="109"/>
        <w:gridCol w:w="109"/>
        <w:gridCol w:w="220"/>
        <w:gridCol w:w="803"/>
        <w:gridCol w:w="171"/>
      </w:tblGrid>
      <w:tr>
        <w:trPr/>
        <w:tc>
          <w:tcPr>
            <w:tcW w:w="96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Redeemable Noncontrolling Interests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compensation and employee stock purchase plans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Forward share repurchase contract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Defined pension and postretirement benefit plans, net of tax</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gains and losses on derivatives, net of tax</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 to stockholders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Purchases and retirement of common stock</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(1,731.9)</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68"/>
        <w:gridCol w:w="404"/>
        <w:gridCol w:w="406"/>
        <w:gridCol w:w="308"/>
        <w:gridCol w:w="901"/>
        <w:gridCol w:w="160"/>
        <w:gridCol w:w="109"/>
        <w:gridCol w:w="109"/>
        <w:gridCol w:w="109"/>
        <w:gridCol w:w="222"/>
        <w:gridCol w:w="428"/>
        <w:gridCol w:w="116"/>
        <w:gridCol w:w="109"/>
        <w:gridCol w:w="109"/>
        <w:gridCol w:w="109"/>
        <w:gridCol w:w="230"/>
        <w:gridCol w:w="557"/>
        <w:gridCol w:w="119"/>
        <w:gridCol w:w="109"/>
        <w:gridCol w:w="109"/>
        <w:gridCol w:w="109"/>
        <w:gridCol w:w="211"/>
        <w:gridCol w:w="766"/>
        <w:gridCol w:w="109"/>
        <w:gridCol w:w="109"/>
        <w:gridCol w:w="109"/>
        <w:gridCol w:w="109"/>
        <w:gridCol w:w="240"/>
        <w:gridCol w:w="889"/>
        <w:gridCol w:w="124"/>
        <w:gridCol w:w="109"/>
        <w:gridCol w:w="109"/>
        <w:gridCol w:w="109"/>
        <w:gridCol w:w="109"/>
        <w:gridCol w:w="109"/>
        <w:gridCol w:w="220"/>
        <w:gridCol w:w="803"/>
        <w:gridCol w:w="171"/>
      </w:tblGrid>
      <w:tr>
        <w:trPr/>
        <w:tc>
          <w:tcPr>
            <w:tcW w:w="96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compensation and employee stock purchase plans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Forward share repurchase contract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Defined pension and postretirement benefit plans, net of tax</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gains and losses on derivatives, net of tax</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 to stockholders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retirement of common stock</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(1,731.9)</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53"/>
        <w:gridCol w:w="497"/>
        <w:gridCol w:w="452"/>
        <w:gridCol w:w="320"/>
        <w:gridCol w:w="937"/>
        <w:gridCol w:w="167"/>
        <w:gridCol w:w="109"/>
        <w:gridCol w:w="109"/>
        <w:gridCol w:w="109"/>
        <w:gridCol w:w="222"/>
        <w:gridCol w:w="428"/>
        <w:gridCol w:w="116"/>
        <w:gridCol w:w="109"/>
        <w:gridCol w:w="109"/>
        <w:gridCol w:w="109"/>
        <w:gridCol w:w="233"/>
        <w:gridCol w:w="565"/>
        <w:gridCol w:w="121"/>
        <w:gridCol w:w="109"/>
        <w:gridCol w:w="109"/>
        <w:gridCol w:w="109"/>
        <w:gridCol w:w="211"/>
        <w:gridCol w:w="766"/>
        <w:gridCol w:w="109"/>
        <w:gridCol w:w="109"/>
        <w:gridCol w:w="109"/>
        <w:gridCol w:w="109"/>
        <w:gridCol w:w="242"/>
        <w:gridCol w:w="898"/>
        <w:gridCol w:w="125"/>
        <w:gridCol w:w="109"/>
        <w:gridCol w:w="109"/>
        <w:gridCol w:w="109"/>
        <w:gridCol w:w="223"/>
        <w:gridCol w:w="813"/>
        <w:gridCol w:w="172"/>
      </w:tblGrid>
      <w:tr>
        <w:trPr/>
        <w:tc>
          <w:tcPr>
            <w:tcW w:w="95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compensation plans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Defined pension and postretirement benefit plans, net of tax</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gains and losses on derivatives, net of tax</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 to stockholders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(1,764.8)</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68"/>
        <w:gridCol w:w="458"/>
        <w:gridCol w:w="460"/>
        <w:gridCol w:w="322"/>
        <w:gridCol w:w="943"/>
        <w:gridCol w:w="168"/>
        <w:gridCol w:w="109"/>
        <w:gridCol w:w="109"/>
        <w:gridCol w:w="109"/>
        <w:gridCol w:w="222"/>
        <w:gridCol w:w="428"/>
        <w:gridCol w:w="116"/>
        <w:gridCol w:w="109"/>
        <w:gridCol w:w="109"/>
        <w:gridCol w:w="109"/>
        <w:gridCol w:w="233"/>
        <w:gridCol w:w="566"/>
        <w:gridCol w:w="121"/>
        <w:gridCol w:w="109"/>
        <w:gridCol w:w="109"/>
        <w:gridCol w:w="109"/>
        <w:gridCol w:w="211"/>
        <w:gridCol w:w="766"/>
        <w:gridCol w:w="109"/>
        <w:gridCol w:w="109"/>
        <w:gridCol w:w="109"/>
        <w:gridCol w:w="109"/>
        <w:gridCol w:w="243"/>
        <w:gridCol w:w="899"/>
        <w:gridCol w:w="126"/>
        <w:gridCol w:w="109"/>
        <w:gridCol w:w="109"/>
        <w:gridCol w:w="109"/>
        <w:gridCol w:w="223"/>
        <w:gridCol w:w="815"/>
        <w:gridCol w:w="173"/>
      </w:tblGrid>
      <w:tr>
        <w:trPr/>
        <w:tc>
          <w:tcPr>
            <w:tcW w:w="96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compensation plans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Defined pension and postretirement benefit plans, net of tax</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gains and losses on derivatives, net of tax</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 to stockholders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(1,764.8)</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sets forth changes in accumulated other comprehensive loss by component, net of tax, attributed to AGCO Corporation for the six months ended June 30, 2026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0"/>
        <w:gridCol w:w="753"/>
        <w:gridCol w:w="755"/>
        <w:gridCol w:w="484"/>
        <w:gridCol w:w="1447"/>
        <w:gridCol w:w="250"/>
        <w:gridCol w:w="109"/>
        <w:gridCol w:w="109"/>
        <w:gridCol w:w="109"/>
        <w:gridCol w:w="518"/>
        <w:gridCol w:w="997"/>
        <w:gridCol w:w="269"/>
        <w:gridCol w:w="109"/>
        <w:gridCol w:w="109"/>
        <w:gridCol w:w="109"/>
        <w:gridCol w:w="310"/>
        <w:gridCol w:w="1203"/>
        <w:gridCol w:w="160"/>
        <w:gridCol w:w="109"/>
        <w:gridCol w:w="109"/>
        <w:gridCol w:w="109"/>
        <w:gridCol w:w="211"/>
        <w:gridCol w:w="797"/>
        <w:gridCol w:w="160"/>
      </w:tblGrid>
      <w:tr>
        <w:trPr/>
        <w:tc>
          <w:tcPr>
            <w:tcW w:w="91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Defined Pension and Postretirement Benefit Plans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Deferred Gains and Losses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Cumulative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loss, </w:t>
            </w:r>
          </w:p>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losses reclassified from accumulated other comprehensive loss</w:t>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loss, </w:t>
            </w:r>
          </w:p>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(1,512.9)</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(1,731.9)</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tables set forth reclassification adjustments out of accumulated other comprehensive loss by component attributed to AGCO Corporation for the three and six months ended June 30, 2026 and 2025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04"/>
        <w:gridCol w:w="971"/>
        <w:gridCol w:w="973"/>
        <w:gridCol w:w="109"/>
        <w:gridCol w:w="109"/>
        <w:gridCol w:w="109"/>
        <w:gridCol w:w="529"/>
        <w:gridCol w:w="916"/>
        <w:gridCol w:w="245"/>
        <w:gridCol w:w="193"/>
        <w:gridCol w:w="193"/>
        <w:gridCol w:w="193"/>
        <w:gridCol w:w="488"/>
        <w:gridCol w:w="974"/>
        <w:gridCol w:w="229"/>
        <w:gridCol w:w="109"/>
        <w:gridCol w:w="109"/>
        <w:gridCol w:w="109"/>
        <w:gridCol w:w="742"/>
        <w:gridCol w:w="742"/>
        <w:gridCol w:w="1059"/>
      </w:tblGrid>
      <w:tr>
        <w:trPr/>
        <w:tc>
          <w:tcPr>
            <w:tcW w:w="11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Reclassified from 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Affected Line Item within the Condensed Consolidated </w:t>
              <w:br/>
              <w:t>Statements of Operations</w:t>
            </w:r>
          </w:p>
        </w:tc>
      </w:tr>
      <w:tr>
        <w:trPr/>
        <w:tc>
          <w:tcPr>
            <w:tcW w:w="3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Details about Accumulated Other Comprehensive Loss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Three Months Ended June 30, 2026</w:t>
            </w:r>
            <w:r>
              <w:rPr>
                <w:rFonts w:ascii="Times New Roman;serif" w:hAnsi="Times New Roman;serif"/>
                <w:b/>
                <w:color w:val="000000"/>
                <w:sz w:val="10"/>
              </w:rPr>
              <w:t>(1)</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Three Months Ended June 30, 2025</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(gains) on 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w:t>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3"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3"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gains on treasury rate locks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Defined pension and postretirement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 net</w:t>
            </w:r>
            <w:r>
              <w:rPr>
                <w:rFonts w:ascii="Times New Roman;serif" w:hAnsi="Times New Roman;serif"/>
                <w:b w:val="false"/>
                <w:color w:val="000000"/>
                <w:sz w:val="10"/>
              </w:rPr>
              <w:t>(2)</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 net</w:t>
            </w:r>
            <w:r>
              <w:rPr>
                <w:rFonts w:ascii="Times New Roman;serif" w:hAnsi="Times New Roman;serif"/>
                <w:b w:val="false"/>
                <w:color w:val="000000"/>
                <w:sz w:val="10"/>
              </w:rPr>
              <w:t>(2)</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reclassified from 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Losses (Gains) included within the Condensed Consolidated Statements of Operations for the three months ended June 30, 2026 and 2025, respectively.</w:t>
      </w:r>
    </w:p>
    <w:p>
      <w:pPr>
        <w:pStyle w:val="TextBody"/>
        <w:bidi w:val="0"/>
        <w:spacing w:lineRule="auto" w:line="288" w:before="40" w:after="283"/>
        <w:ind w:left="0" w:right="0" w:hanging="270"/>
        <w:jc w:val="left"/>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 xml:space="preserve">These accumulated other comprehensive loss components are included in the computation of net periodic pension and postretirement benefit cost. Refer to </w:t>
      </w:r>
      <w:hyperlink w:anchor="i968c8d8a8fc741548799e059ce631ce9_70">
        <w:r>
          <w:rPr>
            <w:rStyle w:val="InternetLink"/>
            <w:rFonts w:ascii="Times New Roman;serif" w:hAnsi="Times New Roman;serif"/>
            <w:b w:val="false"/>
            <w:color w:val="0000FF"/>
            <w:sz w:val="16"/>
            <w:u w:val="single"/>
          </w:rPr>
          <w:t>Note 13</w:t>
        </w:r>
      </w:hyperlink>
      <w:r>
        <w:rPr>
          <w:color w:val="000000"/>
        </w:rPr>
        <w:t xml:space="preserve"> </w:t>
      </w:r>
      <w:r>
        <w:rPr>
          <w:rFonts w:ascii="Times New Roman;serif" w:hAnsi="Times New Roman;serif"/>
          <w:b w:val="false"/>
          <w:color w:val="000000"/>
          <w:sz w:val="16"/>
        </w:rPr>
        <w:t>for additional information.</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25"/>
        <w:gridCol w:w="990"/>
        <w:gridCol w:w="992"/>
        <w:gridCol w:w="109"/>
        <w:gridCol w:w="109"/>
        <w:gridCol w:w="109"/>
        <w:gridCol w:w="511"/>
        <w:gridCol w:w="883"/>
        <w:gridCol w:w="236"/>
        <w:gridCol w:w="196"/>
        <w:gridCol w:w="196"/>
        <w:gridCol w:w="196"/>
        <w:gridCol w:w="471"/>
        <w:gridCol w:w="940"/>
        <w:gridCol w:w="220"/>
        <w:gridCol w:w="109"/>
        <w:gridCol w:w="109"/>
        <w:gridCol w:w="109"/>
        <w:gridCol w:w="756"/>
        <w:gridCol w:w="756"/>
        <w:gridCol w:w="1083"/>
      </w:tblGrid>
      <w:tr>
        <w:trPr/>
        <w:tc>
          <w:tcPr>
            <w:tcW w:w="112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Reclassified from 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Affected Line Item within the Condensed Consolidated </w:t>
              <w:br/>
              <w:t>Statements of Operations</w:t>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Details about Accumulated Other Comprehensive Loss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Six Months Ended June 30, 2026</w:t>
            </w:r>
            <w:r>
              <w:rPr>
                <w:rFonts w:ascii="Times New Roman;serif" w:hAnsi="Times New Roman;serif"/>
                <w:b/>
                <w:color w:val="000000"/>
                <w:sz w:val="10"/>
              </w:rPr>
              <w:t>(1)</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Six Months Ended June 30, 2025</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(gains) on 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on treasury rate locks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Defined pension and postretirement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 net</w:t>
            </w:r>
            <w:r>
              <w:rPr>
                <w:rFonts w:ascii="Times New Roman;serif" w:hAnsi="Times New Roman;serif"/>
                <w:b w:val="false"/>
                <w:color w:val="000000"/>
                <w:sz w:val="10"/>
              </w:rPr>
              <w:t>(2)</w:t>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 net</w:t>
            </w:r>
            <w:r>
              <w:rPr>
                <w:rFonts w:ascii="Times New Roman;serif" w:hAnsi="Times New Roman;serif"/>
                <w:b w:val="false"/>
                <w:color w:val="000000"/>
                <w:sz w:val="10"/>
              </w:rPr>
              <w:t>(2)</w:t>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reclassified from 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Losses (Gains) included within the Condensed Consolidated Statements of Operations for the six months ended June 30, 2026 and 2025, respectively.</w:t>
      </w:r>
    </w:p>
    <w:p>
      <w:pPr>
        <w:pStyle w:val="TextBody"/>
        <w:bidi w:val="0"/>
        <w:spacing w:lineRule="auto" w:line="288" w:before="40" w:after="283"/>
        <w:ind w:left="0" w:right="0" w:hanging="270"/>
        <w:jc w:val="left"/>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 xml:space="preserve">These accumulated other comprehensive loss components are included in the computation of net periodic pension and postretirement benefit cost. Refer to </w:t>
      </w:r>
      <w:hyperlink w:anchor="i968c8d8a8fc741548799e059ce631ce9_70">
        <w:r>
          <w:rPr>
            <w:rStyle w:val="InternetLink"/>
            <w:rFonts w:ascii="Times New Roman;serif" w:hAnsi="Times New Roman;serif"/>
            <w:b w:val="false"/>
            <w:color w:val="0000FF"/>
            <w:sz w:val="16"/>
            <w:u w:val="single"/>
          </w:rPr>
          <w:t>Note 13</w:t>
        </w:r>
      </w:hyperlink>
      <w:r>
        <w:rPr>
          <w:color w:val="000000"/>
        </w:rPr>
        <w:t xml:space="preserve"> </w:t>
      </w:r>
      <w:r>
        <w:rPr>
          <w:rFonts w:ascii="Times New Roman;serif" w:hAnsi="Times New Roman;serif"/>
          <w:b w:val="false"/>
          <w:color w:val="000000"/>
          <w:sz w:val="16"/>
        </w:rPr>
        <w:t>for additional information.</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On July 9, 2025, the Company's Board of Directors authorized a new share repurchase program authorizing the Company to repurchase up to $1.0 billion of the Company's common stock, which has no expiration date. In May 2026, the Company entered into an accelerated share repurchase (“ASR”) agreement with a financial institution to repurchase an aggregate of $293.0 million of shares of its common stock. The Company received approximately 1,997,613 shares associated with this transaction as of June 30, 2026. In November 2025, the Company entered into ASR agreements with two financial institutions to repurchase an aggregate of $250.0 million of shares of its common stock. The Company received approximately 1,997,204 shares associated with these transactions as of December 31, 2025. In February 2026, the Company received an additional 333,755 shares upon final settlement of its November 2025 ASR agreements. All shares received under the ASR agreements were retired upon receipt, and the excess of the purchase price over par value per share was recorded to a combination of “Additional paid-in capital” and “Retained earnings” within the Company’s Condensed Consolidated Balance Sheets. In conjunction with the Cooperation Agreement entered into with Tractors and Farm Equipment Limited (“TAFE”) in June 2025 (the “Cooperation Agreement”), TAFE agreed to participate on a pro rata basis in the Company’s share repurchase programs as authorized by the Company’s Board of Directors from time to time. Under the Cooperation Agreement, TAFE also retains the right to maintain its existing percentage of beneficial ownership of the Company’s common stock. In February 2026, pursuant to the Cooperation Agreement, the Company committed to repurchase a pro-rata amount of shares from TAFE related to the Company's share repurchase program executed in the fourth quarter of 2025. The Company accounted for this arrangement as a forward share repurchase contract and, as of March 31, 2026, recorded a liability. Settlement occurred in May 2026, resulting in the repurchase of 422,590 shares for approximately $52.1 million. The shares repurchased were retired upon receipt, and the excess of the purchase price over par value per share was recorded to a combination of “Additional paid-in capital” and “Retained earnings” within the Company’s Condensed Consolidated Balance Sheets.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As of June 30, 2026, the remaining amount authorized to be repurchased under board-approved share repurchase authorizations was approximately $439.9 million, which has no expiration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During the three months ended June 30, 2026 and 2025, the Company declared and paid cash dividends of $0.30 and $0.29 per common share, respectively. During the six months ended June 30, 2026 and 2025, the Company declared and paid cash dividends of $0.59 and $0.58 per common share, respectively. On April 23, 2026, the Company's Board of Directors approved an increase in the Company's regular quarterly dividend to $0.30 per share, from $0.29 per share. On July 8, 2026, the Company's Board of Directors declared a regular quarterly dividend of $0.30 per common share to be paid on September 15, 2026, to all stockholders of record as of the close of business on August 14,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NET INCOME PER COMMON SHARE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Basic net income per common share is computed by dividing net income by the weighted average number of common shares outstanding during each period. Diluted net income per common share assumes the exercise of outstanding stock-settled stock appreciation rights (“SSARs”) and the vesting of restricted stock unit awards (“RSUs”) using the treasury stock method when there is no other circumstance other than the passage of time under which they would not be issued, and the effects of such assumptions are dilutive.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 reconciliation of net income attributable to AGCO Corporation and weighted average common shares outstanding for purposes of calculating basic and diluted net income per share for the three and six months ended June 30, 2026 and 2025 is as follows (in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58"/>
        <w:gridCol w:w="1596"/>
        <w:gridCol w:w="1610"/>
        <w:gridCol w:w="231"/>
        <w:gridCol w:w="560"/>
        <w:gridCol w:w="119"/>
        <w:gridCol w:w="119"/>
        <w:gridCol w:w="119"/>
        <w:gridCol w:w="119"/>
        <w:gridCol w:w="231"/>
        <w:gridCol w:w="676"/>
        <w:gridCol w:w="119"/>
        <w:gridCol w:w="109"/>
        <w:gridCol w:w="109"/>
        <w:gridCol w:w="109"/>
        <w:gridCol w:w="217"/>
        <w:gridCol w:w="635"/>
        <w:gridCol w:w="112"/>
        <w:gridCol w:w="112"/>
        <w:gridCol w:w="112"/>
        <w:gridCol w:w="112"/>
        <w:gridCol w:w="217"/>
        <w:gridCol w:w="635"/>
        <w:gridCol w:w="169"/>
      </w:tblGrid>
      <w:tr>
        <w:trPr/>
        <w:tc>
          <w:tcPr>
            <w:tcW w:w="2058"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AGCO Corporation</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w:t>
            </w:r>
          </w:p>
        </w:tc>
        <w:tc>
          <w:tcPr>
            <w:tcW w:w="7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share attributable to AGCO Corporation</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9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AGCO Corporation</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w:t>
            </w:r>
          </w:p>
        </w:tc>
        <w:tc>
          <w:tcPr>
            <w:tcW w:w="7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SSARs and RSUs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and common share equivalents outstanding for purposes of computing diluted net income per share</w:t>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attributable to AGCO Corporation</w:t>
            </w:r>
          </w:p>
        </w:tc>
        <w:tc>
          <w:tcPr>
            <w:tcW w:w="2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income tax provision (benefit) and effective tax rate for the three and six months ended June 30, 2026 and 2025 are set forth below (in millions, except percentages):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8"/>
        <w:gridCol w:w="298"/>
        <w:gridCol w:w="299"/>
        <w:gridCol w:w="211"/>
        <w:gridCol w:w="511"/>
        <w:gridCol w:w="109"/>
        <w:gridCol w:w="109"/>
        <w:gridCol w:w="109"/>
        <w:gridCol w:w="109"/>
        <w:gridCol w:w="255"/>
        <w:gridCol w:w="256"/>
        <w:gridCol w:w="271"/>
        <w:gridCol w:w="109"/>
        <w:gridCol w:w="109"/>
        <w:gridCol w:w="109"/>
        <w:gridCol w:w="211"/>
        <w:gridCol w:w="631"/>
        <w:gridCol w:w="109"/>
        <w:gridCol w:w="109"/>
        <w:gridCol w:w="109"/>
        <w:gridCol w:w="109"/>
        <w:gridCol w:w="315"/>
        <w:gridCol w:w="316"/>
        <w:gridCol w:w="271"/>
        <w:gridCol w:w="109"/>
        <w:gridCol w:w="109"/>
        <w:gridCol w:w="109"/>
        <w:gridCol w:w="211"/>
        <w:gridCol w:w="511"/>
        <w:gridCol w:w="109"/>
        <w:gridCol w:w="109"/>
        <w:gridCol w:w="109"/>
        <w:gridCol w:w="109"/>
        <w:gridCol w:w="255"/>
        <w:gridCol w:w="256"/>
        <w:gridCol w:w="271"/>
        <w:gridCol w:w="109"/>
        <w:gridCol w:w="109"/>
        <w:gridCol w:w="109"/>
        <w:gridCol w:w="211"/>
        <w:gridCol w:w="631"/>
        <w:gridCol w:w="109"/>
        <w:gridCol w:w="109"/>
        <w:gridCol w:w="109"/>
        <w:gridCol w:w="109"/>
        <w:gridCol w:w="315"/>
        <w:gridCol w:w="316"/>
        <w:gridCol w:w="320"/>
      </w:tblGrid>
      <w:tr>
        <w:trPr/>
        <w:tc>
          <w:tcPr>
            <w:tcW w:w="3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 and effective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Our effective tax rate varies from period to period due to the mix of taxable income and losses in the various tax jurisdictions in which we operate. During the three and six months ended June 30, 2025, the Company’s income tax provision included a net tax benefit of $255.2 million related to a legal entity reorganization.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maintains a valuation allowance to reserve a portion of its net deferred tax assets in the United States and certain foreign jurisdictions. A valuation allowance is established when it is more likely than not that some portion or all of the deferred tax assets will not be realized. The Company regularly assesses the likelihood that its deferred tax assets will be recovered from estimated future taxable income and available tax planning strategies and has determined that all adjustments to the valuation allowances have been deemed appropriate. In making this assessment, all available evidence was considered including the current economic climate, as well as reasonable tax planning strategies. The Company believes it is more likely than not that it will realize its remaining net deferred tax assets, net of the valuation allowance, in future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PENSION AND POSTRETIREMENT BENEFIT PLANS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periodic pension and postretirement benefit cost for the Company’s defined pension and postretirement benefit plans for the three and six months ended June 30, 2026 and 2025 are set forth below (in millions):</w:t>
      </w:r>
    </w:p>
    <w:p>
      <w:pPr>
        <w:pStyle w:val="TextBody"/>
        <w:bidi w:val="0"/>
        <w:spacing w:before="0" w:after="0"/>
        <w:jc w:val="left"/>
        <w:rPr/>
      </w:pPr>
      <w:r>
        <w:rPr/>
      </w:r>
    </w:p>
    <w:tbl>
      <w:tblPr>
        <w:tblW w:w="8688" w:type="dxa"/>
        <w:jc w:val="left"/>
        <w:tblInd w:w="0" w:type="dxa"/>
        <w:tblLayout w:type="fixed"/>
        <w:tblCellMar>
          <w:top w:w="28" w:type="dxa"/>
          <w:left w:w="28" w:type="dxa"/>
          <w:bottom w:w="28" w:type="dxa"/>
          <w:right w:w="28" w:type="dxa"/>
        </w:tblCellMar>
      </w:tblPr>
      <w:tblGrid>
        <w:gridCol w:w="1082"/>
        <w:gridCol w:w="948"/>
        <w:gridCol w:w="955"/>
        <w:gridCol w:w="109"/>
        <w:gridCol w:w="109"/>
        <w:gridCol w:w="109"/>
        <w:gridCol w:w="311"/>
        <w:gridCol w:w="599"/>
        <w:gridCol w:w="160"/>
        <w:gridCol w:w="160"/>
        <w:gridCol w:w="160"/>
        <w:gridCol w:w="160"/>
        <w:gridCol w:w="311"/>
        <w:gridCol w:w="599"/>
        <w:gridCol w:w="160"/>
        <w:gridCol w:w="109"/>
        <w:gridCol w:w="109"/>
        <w:gridCol w:w="109"/>
        <w:gridCol w:w="281"/>
        <w:gridCol w:w="541"/>
        <w:gridCol w:w="145"/>
        <w:gridCol w:w="145"/>
        <w:gridCol w:w="145"/>
        <w:gridCol w:w="145"/>
        <w:gridCol w:w="281"/>
        <w:gridCol w:w="541"/>
        <w:gridCol w:w="205"/>
      </w:tblGrid>
      <w:tr>
        <w:trPr/>
        <w:tc>
          <w:tcPr>
            <w:tcW w:w="108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32" w:type="dxa"/>
        <w:jc w:val="left"/>
        <w:tblInd w:w="0" w:type="dxa"/>
        <w:tblLayout w:type="fixed"/>
        <w:tblCellMar>
          <w:top w:w="28" w:type="dxa"/>
          <w:left w:w="28" w:type="dxa"/>
          <w:bottom w:w="28" w:type="dxa"/>
          <w:right w:w="28" w:type="dxa"/>
        </w:tblCellMar>
      </w:tblPr>
      <w:tblGrid>
        <w:gridCol w:w="1205"/>
        <w:gridCol w:w="1061"/>
        <w:gridCol w:w="1063"/>
        <w:gridCol w:w="109"/>
        <w:gridCol w:w="109"/>
        <w:gridCol w:w="109"/>
        <w:gridCol w:w="311"/>
        <w:gridCol w:w="599"/>
        <w:gridCol w:w="160"/>
        <w:gridCol w:w="160"/>
        <w:gridCol w:w="160"/>
        <w:gridCol w:w="160"/>
        <w:gridCol w:w="311"/>
        <w:gridCol w:w="599"/>
        <w:gridCol w:w="160"/>
        <w:gridCol w:w="109"/>
        <w:gridCol w:w="109"/>
        <w:gridCol w:w="109"/>
        <w:gridCol w:w="281"/>
        <w:gridCol w:w="541"/>
        <w:gridCol w:w="145"/>
        <w:gridCol w:w="145"/>
        <w:gridCol w:w="145"/>
        <w:gridCol w:w="145"/>
        <w:gridCol w:w="281"/>
        <w:gridCol w:w="541"/>
        <w:gridCol w:w="205"/>
      </w:tblGrid>
      <w:tr>
        <w:trPr/>
        <w:tc>
          <w:tcPr>
            <w:tcW w:w="120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postretirement benefit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components of net periodic pension and postretirement benefits cost, other than the service cost component, are included in “Other expense, net” in the Company’s Condensed Consolidated Statements of Operations.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During the six months ended June 30, 2026, the Company made approximately $9.1 million of contributions to its defined pension benefit plans. The Company currently estimates its minimum contributions for 2026 to its defined pension benefit plans will aggregate to approximately $15.5 million.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During the six months ended June 30, 2026, the Company made approximately $1.0 million of contributions to its postretirement health care and life insurance benefit plans. The Company currently estimates that it will make approximately $2.1 million of contributions to its postretirement health care and life insurance benefit plans during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FAIR VALUE OF FINANCIAL INSTRUMENTS</w:t>
      </w:r>
    </w:p>
    <w:p>
      <w:pPr>
        <w:pStyle w:val="TextBody"/>
        <w:bidi w:val="0"/>
        <w:spacing w:before="0" w:after="0"/>
        <w:jc w:val="left"/>
        <w:rPr/>
      </w:pPr>
      <w:r>
        <w:rPr/>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The Company categorizes its assets and liabilities into one of three levels based on the assumptions used in valuing the asset or liability. Estimates of fair value for financial assets and liabilities are based on a fair value hierarchy that prioritizes the inputs to valuation techniques used to measure fair value. Observable inputs (highest level) reflect market data obtained from independent sources, while unobservable inputs (lowest level) reflect internally developed market assumptions. In accordance with this guidance, fair value measurements are classified under the following hierarchy: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Level 2 - Quoted prices for similar assets or liabilities in active markets; quoted prices for identical or similar assets or liabilities in markets that are not active; and model-derived valuations in which all significant inputs are observable or can be corroborated by observable market data for substantially the full term of the assets or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3 - Model-derived valuations in which one or more significant inputs are unobservable.</w:t>
      </w:r>
    </w:p>
    <w:p>
      <w:pPr>
        <w:pStyle w:val="TextBody"/>
        <w:bidi w:val="0"/>
        <w:spacing w:lineRule="auto" w:line="288" w:before="180" w:after="283"/>
        <w:jc w:val="left"/>
        <w:rPr>
          <w:color w:val="000000"/>
        </w:rPr>
      </w:pPr>
      <w:r>
        <w:rPr>
          <w:color w:val="000000"/>
        </w:rPr>
        <w:t>    </w:t>
      </w:r>
      <w:r>
        <w:rPr>
          <w:rFonts w:ascii="Times New Roman;serif" w:hAnsi="Times New Roman;serif"/>
          <w:b w:val="false"/>
          <w:color w:val="000000"/>
          <w:sz w:val="20"/>
        </w:rPr>
        <w:t>The Company categorizes its pension plan assets into one of the three levels of the fair value hierarchy, except for those measured using the net asset value per share (or its equivalent) practical expedient.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The Company enters into foreign currency and interest rate swap contracts. The fair values of the Company’s derivative instruments are determined using discounted cash flow valuation models. The significant inputs used in these models are readily available in public markets, or can be derived from observable market transactions, and therefore have been classified as Level 2. Inputs used in these discounted cash flow valuation models for derivative instruments include the applicable exchange rates, forward rates or interest rates. Such models used for option contracts also use implied volatility. Refer to </w:t>
      </w:r>
      <w:hyperlink w:anchor="i968c8d8a8fc741548799e059ce631ce9_58">
        <w:r>
          <w:rPr>
            <w:rStyle w:val="InternetLink"/>
            <w:rFonts w:ascii="Times New Roman;serif" w:hAnsi="Times New Roman;serif"/>
            <w:b w:val="false"/>
            <w:color w:val="0000FF"/>
            <w:sz w:val="20"/>
            <w:u w:val="single"/>
          </w:rPr>
          <w:t>Note 9</w:t>
        </w:r>
      </w:hyperlink>
      <w:r>
        <w:rPr>
          <w:color w:val="000000"/>
        </w:rPr>
        <w:t xml:space="preserve"> </w:t>
      </w:r>
      <w:r>
        <w:rPr>
          <w:rFonts w:ascii="Times New Roman;serif" w:hAnsi="Times New Roman;serif"/>
          <w:b w:val="false"/>
          <w:color w:val="000000"/>
          <w:sz w:val="20"/>
        </w:rPr>
        <w:t>for additional information on the Company’s derivative instruments and hedging activities.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Assets and liabilities measured at fair value on a recurring basis as of June 30, 2026 and December 31, 2025 are summarized below (in millions):</w:t>
      </w:r>
    </w:p>
    <w:p>
      <w:pPr>
        <w:pStyle w:val="TextBody"/>
        <w:bidi w:val="0"/>
        <w:spacing w:before="0" w:after="0"/>
        <w:jc w:val="left"/>
        <w:rPr/>
      </w:pPr>
      <w:r>
        <w:rPr/>
      </w:r>
    </w:p>
    <w:tbl>
      <w:tblPr>
        <w:tblW w:w="5754" w:type="dxa"/>
        <w:jc w:val="left"/>
        <w:tblInd w:w="0" w:type="dxa"/>
        <w:tblLayout w:type="fixed"/>
        <w:tblCellMar>
          <w:top w:w="28" w:type="dxa"/>
          <w:left w:w="28" w:type="dxa"/>
          <w:bottom w:w="28" w:type="dxa"/>
          <w:right w:w="28" w:type="dxa"/>
        </w:tblCellMar>
      </w:tblPr>
      <w:tblGrid>
        <w:gridCol w:w="651"/>
        <w:gridCol w:w="573"/>
        <w:gridCol w:w="576"/>
        <w:gridCol w:w="213"/>
        <w:gridCol w:w="411"/>
        <w:gridCol w:w="110"/>
        <w:gridCol w:w="109"/>
        <w:gridCol w:w="109"/>
        <w:gridCol w:w="109"/>
        <w:gridCol w:w="213"/>
        <w:gridCol w:w="411"/>
        <w:gridCol w:w="110"/>
        <w:gridCol w:w="109"/>
        <w:gridCol w:w="109"/>
        <w:gridCol w:w="109"/>
        <w:gridCol w:w="213"/>
        <w:gridCol w:w="411"/>
        <w:gridCol w:w="110"/>
        <w:gridCol w:w="109"/>
        <w:gridCol w:w="109"/>
        <w:gridCol w:w="109"/>
        <w:gridCol w:w="211"/>
        <w:gridCol w:w="40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956" w:type="dxa"/>
        <w:jc w:val="center"/>
        <w:tblInd w:w="0" w:type="dxa"/>
        <w:tblLayout w:type="fixed"/>
        <w:tblCellMar>
          <w:top w:w="28" w:type="dxa"/>
          <w:left w:w="28" w:type="dxa"/>
          <w:bottom w:w="28" w:type="dxa"/>
          <w:right w:w="28" w:type="dxa"/>
        </w:tblCellMar>
      </w:tblPr>
      <w:tblGrid>
        <w:gridCol w:w="651"/>
        <w:gridCol w:w="573"/>
        <w:gridCol w:w="576"/>
        <w:gridCol w:w="213"/>
        <w:gridCol w:w="411"/>
        <w:gridCol w:w="110"/>
        <w:gridCol w:w="109"/>
        <w:gridCol w:w="109"/>
        <w:gridCol w:w="109"/>
        <w:gridCol w:w="211"/>
        <w:gridCol w:w="511"/>
        <w:gridCol w:w="109"/>
        <w:gridCol w:w="109"/>
        <w:gridCol w:w="109"/>
        <w:gridCol w:w="109"/>
        <w:gridCol w:w="213"/>
        <w:gridCol w:w="411"/>
        <w:gridCol w:w="110"/>
        <w:gridCol w:w="109"/>
        <w:gridCol w:w="109"/>
        <w:gridCol w:w="109"/>
        <w:gridCol w:w="211"/>
        <w:gridCol w:w="51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The carrying amounts of long-term debt under the Company’s EIB Senior term loans due 2029 and 2030 and Senior term loans due between 2026 and 2028 approximate fair value based on the borrowing rates currently available to the Company for loans with similar terms and average maturities. At June 30, 2026, the estimated fair value of the Company's 0.800% Senior notes due 2028, based on listed market values, was approximately €567.7 million (or approximately $647.1 million), compared to the carrying value of €600.0 million (or approximately $683.9 million). At June 30, 2026, the estimated fair value of the Company's 5.450% senior notes due 2027, based on listed market values, was approximately $402.4 million, compared to the carrying value of $400.0 million. At June 30, 2026, the estimated fair value of the Company's 5.800% senior notes due 2034, based on listed market values, was approximately $713.4 million, compared to the carrying value of $700.0 million. Refer to </w:t>
      </w:r>
      <w:hyperlink w:anchor="i968c8d8a8fc741548799e059ce631ce9_52">
        <w:r>
          <w:rPr>
            <w:rStyle w:val="InternetLink"/>
            <w:rFonts w:ascii="Times New Roman;serif" w:hAnsi="Times New Roman;serif"/>
            <w:b w:val="false"/>
            <w:color w:val="0000FF"/>
            <w:sz w:val="20"/>
            <w:u w:val="single"/>
          </w:rPr>
          <w:t>Note 7</w:t>
        </w:r>
      </w:hyperlink>
      <w:r>
        <w:rPr>
          <w:color w:val="000000"/>
        </w:rPr>
        <w:t xml:space="preserve"> </w:t>
      </w:r>
      <w:r>
        <w:rPr>
          <w:rFonts w:ascii="Times New Roman;serif" w:hAnsi="Times New Roman;serif"/>
          <w:b w:val="false"/>
          <w:color w:val="000000"/>
          <w:sz w:val="20"/>
        </w:rPr>
        <w:t>for additional information on the Company’s long-term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Lease payment amounts for operating and finance leases with remaining terms greater than one year as of June 30, 2026 and December 31, 2025 were as follows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6"/>
        <w:gridCol w:w="865"/>
        <w:gridCol w:w="878"/>
        <w:gridCol w:w="109"/>
        <w:gridCol w:w="109"/>
        <w:gridCol w:w="109"/>
        <w:gridCol w:w="379"/>
        <w:gridCol w:w="1109"/>
        <w:gridCol w:w="196"/>
        <w:gridCol w:w="109"/>
        <w:gridCol w:w="109"/>
        <w:gridCol w:w="109"/>
        <w:gridCol w:w="397"/>
        <w:gridCol w:w="768"/>
        <w:gridCol w:w="209"/>
        <w:gridCol w:w="109"/>
        <w:gridCol w:w="109"/>
        <w:gridCol w:w="109"/>
        <w:gridCol w:w="379"/>
        <w:gridCol w:w="1109"/>
        <w:gridCol w:w="196"/>
        <w:gridCol w:w="109"/>
        <w:gridCol w:w="109"/>
        <w:gridCol w:w="109"/>
        <w:gridCol w:w="388"/>
        <w:gridCol w:w="746"/>
        <w:gridCol w:w="292"/>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Operating Leases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Operating Leases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imputed interest</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Operating lease payments include options to extend or terminate at the Company's sole discretion, which are included in the determination of lease term when they are reasonably certain to be exercised.</w:t>
      </w:r>
    </w:p>
    <w:p>
      <w:pPr>
        <w:pStyle w:val="TextBody"/>
        <w:bidi w:val="0"/>
        <w:spacing w:lineRule="auto" w:line="288" w:before="40" w:after="283"/>
        <w:ind w:left="0" w:right="0" w:hanging="270"/>
        <w:jc w:val="left"/>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Calculated for each lease using either the implicit interest rate or the incremental borrowing rate, when the implicit interest rate is not readily available.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Guarantees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At June 30, 2026, the Company had outstanding guarantees issued to its Argentine finance joint venture, AGCO Capital Argentina S.A. (“AGCO Capital”), of approximately $81.7 million. Such guarantees generally obligate the Company to repay outstanding finance obligations owed to AGCO Capital if end users default on such loans to the extent that, due to non-credit risk, the end users are not able, or not required, to pay their loans, or are required to pay in a different currency than the one agreed to in their loan. The Company also has obligations to guarantee indebtedness owed to certain of its finance joint ventures if dealers or end users default on loans. Losses under such guarantees historically have been insignificant. The Company believes the credit risk associated with these guarantees is not material.</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addition, the Company guarantees residual values that may be owed to its finance joint ventures, primarily in the United States and Canada, due upon expiration of certain eligible operating leases between the finance joint ventures and end users. At June 30, 2026, the Company had accrued approximately $12.7 million of outstanding guarantees of residual values related to the United States and Canada. The maximum potential amount of future payments under these guarantees is approximately $235.7 million.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The Company sells a majority of its wholesale receivables in North America, Europe and Brazil to its U.S., Canadian, European and Brazilian finance joint ventures. The Company also sells certain accounts receivable under factoring arrangements to financial institutions around the world. The Company accounts for the sale of such receivables as off-balance sheet transactions. Refer to </w:t>
      </w:r>
      <w:hyperlink w:anchor="i968c8d8a8fc741548799e059ce631ce9_37">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color w:val="000000"/>
          <w:sz w:val="20"/>
        </w:rPr>
        <w:t>for discussion of the Company’s accounts receivable sales agreements.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is a party to various other legal claims and actions incidental to its business. The Company believes that none of these claims or actions, either individually or in the aggregate, are material to its business or financial statements as a whole, including its results of operations and financial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Contract liabilities primarily relate to the following: (1) unrecognized revenues where payment of consideration precedes the Company’s performance with respect to extended warranty and maintenance contracts and where the performance obligation is satisfied over time and (2) unrecognized revenues where payment of consideration precedes the Company’s performance with respect to precision agriculture technology services and where the performance obligation is satisfied over time.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the balance of contract liabilities as of June 30, 2026 and December 31, 2025 (in millions):</w:t>
      </w:r>
    </w:p>
    <w:p>
      <w:pPr>
        <w:pStyle w:val="TextBody"/>
        <w:bidi w:val="0"/>
        <w:spacing w:before="0" w:after="0"/>
        <w:jc w:val="left"/>
        <w:rPr/>
      </w:pPr>
      <w:r>
        <w:rPr/>
      </w:r>
    </w:p>
    <w:tbl>
      <w:tblPr>
        <w:tblW w:w="5019" w:type="dxa"/>
        <w:jc w:val="left"/>
        <w:tblInd w:w="0" w:type="dxa"/>
        <w:tblLayout w:type="fixed"/>
        <w:tblCellMar>
          <w:top w:w="28" w:type="dxa"/>
          <w:left w:w="28" w:type="dxa"/>
          <w:bottom w:w="28" w:type="dxa"/>
          <w:right w:w="28" w:type="dxa"/>
        </w:tblCellMar>
      </w:tblPr>
      <w:tblGrid>
        <w:gridCol w:w="597"/>
        <w:gridCol w:w="525"/>
        <w:gridCol w:w="527"/>
        <w:gridCol w:w="287"/>
        <w:gridCol w:w="839"/>
        <w:gridCol w:w="148"/>
        <w:gridCol w:w="109"/>
        <w:gridCol w:w="109"/>
        <w:gridCol w:w="109"/>
        <w:gridCol w:w="379"/>
        <w:gridCol w:w="1111"/>
        <w:gridCol w:w="279"/>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The contract liabilities are classified as either “Accrued expenses” or “Other current liabilities” and “Other noncurrent liabilities” in the Company’s Condensed Consolidated Balance Sheets. During the three and six months ended June 30, 2026, the Company recognized approximately $47.2 million and $94.4 million of revenue that was recorded as a contract liability at the beg</w:t>
      </w:r>
      <w:r>
        <w:rPr>
          <w:rFonts w:ascii="Times New Roman;serif" w:hAnsi="Times New Roman;serif"/>
          <w:b w:val="false"/>
          <w:color w:val="000000"/>
          <w:sz w:val="20"/>
          <w:shd w:fill="FFFFFF" w:val="clear"/>
        </w:rPr>
        <w:t xml:space="preserve">inning of 2026. During the </w:t>
      </w:r>
      <w:r>
        <w:rPr>
          <w:rFonts w:ascii="Times New Roman;serif" w:hAnsi="Times New Roman;serif"/>
          <w:b w:val="false"/>
          <w:color w:val="000000"/>
          <w:sz w:val="20"/>
        </w:rPr>
        <w:t xml:space="preserve">three and six </w:t>
      </w:r>
      <w:r>
        <w:rPr>
          <w:rFonts w:ascii="Times New Roman;serif" w:hAnsi="Times New Roman;serif"/>
          <w:b w:val="false"/>
          <w:color w:val="000000"/>
          <w:sz w:val="20"/>
          <w:shd w:fill="FFFFFF" w:val="clear"/>
        </w:rPr>
        <w:t xml:space="preserve">months ended June 30, 2025, the Company recognized approximately </w:t>
      </w:r>
      <w:r>
        <w:rPr>
          <w:rFonts w:ascii="Times New Roman;serif" w:hAnsi="Times New Roman;serif"/>
          <w:b w:val="false"/>
          <w:color w:val="000000"/>
          <w:sz w:val="20"/>
        </w:rPr>
        <w:t xml:space="preserve">$51.0 million and $86.5 million </w:t>
      </w:r>
      <w:r>
        <w:rPr>
          <w:rFonts w:ascii="Times New Roman;serif" w:hAnsi="Times New Roman;serif"/>
          <w:b w:val="false"/>
          <w:color w:val="000000"/>
          <w:sz w:val="20"/>
          <w:shd w:fill="FFFFFF" w:val="clear"/>
        </w:rPr>
        <w:t>of revenue that was recorded as a contract liability at the beginning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Remaining Performance Obligations</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 xml:space="preserve">The estimated revenues expected to be recognized in the future related to performance obligations that are unsatisfied (or partially unsatisfied) as of June 30, 2026 are </w:t>
      </w:r>
      <w:r>
        <w:rPr>
          <w:rFonts w:ascii="Times New Roman;serif" w:hAnsi="Times New Roman;serif"/>
          <w:b w:val="false"/>
          <w:color w:val="000000"/>
          <w:sz w:val="20"/>
        </w:rPr>
        <w:t>$84.0 million</w:t>
      </w:r>
      <w:r>
        <w:rPr>
          <w:color w:val="000000"/>
          <w:shd w:fill="FFFFFF" w:val="clear"/>
        </w:rPr>
        <w:t xml:space="preserve"> </w:t>
      </w:r>
      <w:r>
        <w:rPr>
          <w:rFonts w:ascii="Times New Roman;serif" w:hAnsi="Times New Roman;serif"/>
          <w:b w:val="false"/>
          <w:color w:val="000000"/>
          <w:sz w:val="20"/>
          <w:shd w:fill="FFFFFF" w:val="clear"/>
        </w:rPr>
        <w:t xml:space="preserve">for the remainder of 2026, </w:t>
      </w:r>
      <w:r>
        <w:rPr>
          <w:rFonts w:ascii="Times New Roman;serif" w:hAnsi="Times New Roman;serif"/>
          <w:b w:val="false"/>
          <w:color w:val="000000"/>
          <w:sz w:val="20"/>
        </w:rPr>
        <w:t>$135.8 million</w:t>
      </w:r>
      <w:r>
        <w:rPr>
          <w:color w:val="000000"/>
          <w:shd w:fill="FFFFFF" w:val="clear"/>
        </w:rPr>
        <w:t xml:space="preserve"> </w:t>
      </w:r>
      <w:r>
        <w:rPr>
          <w:rFonts w:ascii="Times New Roman;serif" w:hAnsi="Times New Roman;serif"/>
          <w:b w:val="false"/>
          <w:color w:val="000000"/>
          <w:sz w:val="20"/>
          <w:shd w:fill="FFFFFF" w:val="clear"/>
        </w:rPr>
        <w:t xml:space="preserve">in 2027, </w:t>
      </w:r>
      <w:r>
        <w:rPr>
          <w:rFonts w:ascii="Times New Roman;serif" w:hAnsi="Times New Roman;serif"/>
          <w:b w:val="false"/>
          <w:color w:val="000000"/>
          <w:sz w:val="20"/>
        </w:rPr>
        <w:t>$84.8 million</w:t>
      </w:r>
      <w:r>
        <w:rPr>
          <w:color w:val="000000"/>
          <w:shd w:fill="FFFFFF" w:val="clear"/>
        </w:rPr>
        <w:t xml:space="preserve"> </w:t>
      </w:r>
      <w:r>
        <w:rPr>
          <w:rFonts w:ascii="Times New Roman;serif" w:hAnsi="Times New Roman;serif"/>
          <w:b w:val="false"/>
          <w:color w:val="000000"/>
          <w:sz w:val="20"/>
          <w:shd w:fill="FFFFFF" w:val="clear"/>
        </w:rPr>
        <w:t xml:space="preserve">in 2028, </w:t>
      </w:r>
      <w:r>
        <w:rPr>
          <w:rFonts w:ascii="Times New Roman;serif" w:hAnsi="Times New Roman;serif"/>
          <w:b w:val="false"/>
          <w:color w:val="000000"/>
          <w:sz w:val="20"/>
        </w:rPr>
        <w:t>$42.1 million</w:t>
      </w:r>
      <w:r>
        <w:rPr>
          <w:color w:val="000000"/>
          <w:shd w:fill="FFFFFF" w:val="clear"/>
        </w:rPr>
        <w:t xml:space="preserve"> </w:t>
      </w:r>
      <w:r>
        <w:rPr>
          <w:rFonts w:ascii="Times New Roman;serif" w:hAnsi="Times New Roman;serif"/>
          <w:b w:val="false"/>
          <w:color w:val="000000"/>
          <w:sz w:val="20"/>
          <w:shd w:fill="FFFFFF" w:val="clear"/>
        </w:rPr>
        <w:t xml:space="preserve">in 2029 and </w:t>
      </w:r>
      <w:r>
        <w:rPr>
          <w:rFonts w:ascii="Times New Roman;serif" w:hAnsi="Times New Roman;serif"/>
          <w:b w:val="false"/>
          <w:color w:val="000000"/>
          <w:sz w:val="20"/>
        </w:rPr>
        <w:t>$19.8 million</w:t>
      </w:r>
      <w:r>
        <w:rPr>
          <w:color w:val="000000"/>
          <w:shd w:fill="FFFFFF" w:val="clear"/>
        </w:rPr>
        <w:t xml:space="preserve"> </w:t>
      </w:r>
      <w:r>
        <w:rPr>
          <w:rFonts w:ascii="Times New Roman;serif" w:hAnsi="Times New Roman;serif"/>
          <w:b w:val="false"/>
          <w:color w:val="000000"/>
          <w:sz w:val="20"/>
          <w:shd w:fill="FFFFFF" w:val="clear"/>
        </w:rPr>
        <w:t>ther</w:t>
      </w:r>
      <w:r>
        <w:rPr>
          <w:rFonts w:ascii="Times New Roman;serif" w:hAnsi="Times New Roman;serif"/>
          <w:b w:val="false"/>
          <w:color w:val="000000"/>
          <w:sz w:val="20"/>
        </w:rPr>
        <w:t>eafter, and relate primarily to extended warranty contracts. The Company applied the practical expedient in ASC 606 and has not disclosed information about remaining performance obligations that have original expected durations of 12 months or less.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i/>
          <w:color w:val="000000"/>
          <w:sz w:val="20"/>
        </w:rPr>
        <w:t>Disaggregated Revenue</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for the three months ended June 30, 2026 disaggregated by primary geographical markets and major products consisted of the following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9"/>
        <w:gridCol w:w="753"/>
        <w:gridCol w:w="757"/>
        <w:gridCol w:w="109"/>
        <w:gridCol w:w="109"/>
        <w:gridCol w:w="109"/>
        <w:gridCol w:w="245"/>
        <w:gridCol w:w="717"/>
        <w:gridCol w:w="126"/>
        <w:gridCol w:w="109"/>
        <w:gridCol w:w="109"/>
        <w:gridCol w:w="109"/>
        <w:gridCol w:w="243"/>
        <w:gridCol w:w="711"/>
        <w:gridCol w:w="125"/>
        <w:gridCol w:w="109"/>
        <w:gridCol w:w="109"/>
        <w:gridCol w:w="109"/>
        <w:gridCol w:w="260"/>
        <w:gridCol w:w="944"/>
        <w:gridCol w:w="134"/>
        <w:gridCol w:w="109"/>
        <w:gridCol w:w="109"/>
        <w:gridCol w:w="109"/>
        <w:gridCol w:w="272"/>
        <w:gridCol w:w="796"/>
        <w:gridCol w:w="140"/>
        <w:gridCol w:w="109"/>
        <w:gridCol w:w="109"/>
        <w:gridCol w:w="109"/>
        <w:gridCol w:w="236"/>
        <w:gridCol w:w="857"/>
        <w:gridCol w:w="123"/>
        <w:gridCol w:w="109"/>
        <w:gridCol w:w="163"/>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Europe/Middle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Asia/Pacific/Africa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South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and 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Finland and Scandinavia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Algeria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 and New Zealand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 Central America and Caribbean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Grain storage and protein production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Combines, application equipment and other machinery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for the three months ended June 30, 2025 disaggregated by primary geographical markets and major products consisted of the following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6"/>
        <w:gridCol w:w="786"/>
        <w:gridCol w:w="789"/>
        <w:gridCol w:w="109"/>
        <w:gridCol w:w="109"/>
        <w:gridCol w:w="109"/>
        <w:gridCol w:w="248"/>
        <w:gridCol w:w="726"/>
        <w:gridCol w:w="128"/>
        <w:gridCol w:w="109"/>
        <w:gridCol w:w="109"/>
        <w:gridCol w:w="109"/>
        <w:gridCol w:w="256"/>
        <w:gridCol w:w="749"/>
        <w:gridCol w:w="132"/>
        <w:gridCol w:w="109"/>
        <w:gridCol w:w="109"/>
        <w:gridCol w:w="109"/>
        <w:gridCol w:w="264"/>
        <w:gridCol w:w="960"/>
        <w:gridCol w:w="136"/>
        <w:gridCol w:w="109"/>
        <w:gridCol w:w="109"/>
        <w:gridCol w:w="109"/>
        <w:gridCol w:w="278"/>
        <w:gridCol w:w="812"/>
        <w:gridCol w:w="143"/>
        <w:gridCol w:w="109"/>
        <w:gridCol w:w="109"/>
        <w:gridCol w:w="109"/>
        <w:gridCol w:w="235"/>
        <w:gridCol w:w="854"/>
        <w:gridCol w:w="178"/>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Latin America</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Europe/Middle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Asia/Pacific/Africa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South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and 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Finland and Scandinavia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Algeria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 and New Zealand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 Central America and Caribbean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Grain storage and protein production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Combines, application equipment and other machinery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Effective January 1, 2026, the Company realigned its organizational structure to support its Farmer</w:t>
        <w:noBreakHyphen/>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for the six months ended June 30, 2026 disaggregated by primary geographical markets and major products consisted of the following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82"/>
        <w:gridCol w:w="774"/>
        <w:gridCol w:w="777"/>
        <w:gridCol w:w="109"/>
        <w:gridCol w:w="109"/>
        <w:gridCol w:w="109"/>
        <w:gridCol w:w="109"/>
        <w:gridCol w:w="247"/>
        <w:gridCol w:w="723"/>
        <w:gridCol w:w="127"/>
        <w:gridCol w:w="109"/>
        <w:gridCol w:w="109"/>
        <w:gridCol w:w="109"/>
        <w:gridCol w:w="245"/>
        <w:gridCol w:w="716"/>
        <w:gridCol w:w="126"/>
        <w:gridCol w:w="109"/>
        <w:gridCol w:w="109"/>
        <w:gridCol w:w="109"/>
        <w:gridCol w:w="262"/>
        <w:gridCol w:w="954"/>
        <w:gridCol w:w="135"/>
        <w:gridCol w:w="109"/>
        <w:gridCol w:w="109"/>
        <w:gridCol w:w="109"/>
        <w:gridCol w:w="276"/>
        <w:gridCol w:w="806"/>
        <w:gridCol w:w="142"/>
        <w:gridCol w:w="109"/>
        <w:gridCol w:w="109"/>
        <w:gridCol w:w="109"/>
        <w:gridCol w:w="235"/>
        <w:gridCol w:w="854"/>
        <w:gridCol w:w="180"/>
      </w:tblGrid>
      <w:tr>
        <w:trPr/>
        <w:tc>
          <w:tcPr>
            <w:tcW w:w="88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Europe/Middle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Asia/Pacific/Africa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South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and 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Finland and Scandinavia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Algeria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 and New Zealand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 Central America and Caribbean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Grain storage and protein production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Combines, application equipment and other machinery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for the six months ended June 30, 2025 disaggregated by primary geographical markets and major products consisted of the following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0"/>
        <w:gridCol w:w="746"/>
        <w:gridCol w:w="749"/>
        <w:gridCol w:w="109"/>
        <w:gridCol w:w="109"/>
        <w:gridCol w:w="109"/>
        <w:gridCol w:w="245"/>
        <w:gridCol w:w="715"/>
        <w:gridCol w:w="126"/>
        <w:gridCol w:w="109"/>
        <w:gridCol w:w="109"/>
        <w:gridCol w:w="109"/>
        <w:gridCol w:w="251"/>
        <w:gridCol w:w="736"/>
        <w:gridCol w:w="130"/>
        <w:gridCol w:w="109"/>
        <w:gridCol w:w="109"/>
        <w:gridCol w:w="109"/>
        <w:gridCol w:w="259"/>
        <w:gridCol w:w="941"/>
        <w:gridCol w:w="133"/>
        <w:gridCol w:w="109"/>
        <w:gridCol w:w="109"/>
        <w:gridCol w:w="109"/>
        <w:gridCol w:w="271"/>
        <w:gridCol w:w="792"/>
        <w:gridCol w:w="140"/>
        <w:gridCol w:w="109"/>
        <w:gridCol w:w="109"/>
        <w:gridCol w:w="109"/>
        <w:gridCol w:w="109"/>
        <w:gridCol w:w="109"/>
        <w:gridCol w:w="235"/>
        <w:gridCol w:w="854"/>
        <w:gridCol w:w="179"/>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Latin America</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Europe/Middle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Asia/Pacific/Africa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South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and 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Finland and Scandinavia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Algeria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 and New Zealand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 Central America and Caribbean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Grain storage and protein production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Combines, application equipment and other machinery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Effective January 1, 2026, the Company realigned its organizational structure to support its Farmer</w:t>
        <w:noBreakHyphen/>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w:t>
      </w:r>
    </w:p>
    <w:p>
      <w:pPr>
        <w:pStyle w:val="TextBody"/>
        <w:bidi w:val="0"/>
        <w:spacing w:before="40" w:after="283"/>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SEGMENT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has four operating segments which are also its reportable segments which consist of the North America, Latin America, Europe/Middle East and Asia/Pacific/Africa regions. Effective January 1, 2026, the Company realigned its organizational structure to support its Farmer</w:t>
        <w:noBreakHyphen/>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 The Company’s reportable segments are geography based and distribute a full range of agricultural machinery and precision agriculture technology. The Company’s Chief Operating Decision Maker (“CODM”), Eric P. Hansotia, Chairman of the Board, President and Chief Executive Officer, evaluates segment performance primarily based on income from operations. The CODM utilizes income from operations to evaluate each segment’s performance including the allocation of resources. Sales for each segment are based on the location of the third-party customer. The Company’s selling, general and administrative expenses and engineering expenses are generally charged to each segment based on the region and division where the expenses are incurred. As a result, the components of income (loss) from operations for one segment may not be comparable to another segment. Segment results for the three and six months ended June 30, 2026 and 2025 and assets as of June 30, 2026 and December 31, 2025 based on the Company’s reportable segments are as follows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14"/>
        <w:gridCol w:w="595"/>
        <w:gridCol w:w="597"/>
        <w:gridCol w:w="109"/>
        <w:gridCol w:w="109"/>
        <w:gridCol w:w="109"/>
        <w:gridCol w:w="248"/>
        <w:gridCol w:w="725"/>
        <w:gridCol w:w="128"/>
        <w:gridCol w:w="109"/>
        <w:gridCol w:w="109"/>
        <w:gridCol w:w="109"/>
        <w:gridCol w:w="245"/>
        <w:gridCol w:w="718"/>
        <w:gridCol w:w="126"/>
        <w:gridCol w:w="109"/>
        <w:gridCol w:w="109"/>
        <w:gridCol w:w="109"/>
        <w:gridCol w:w="263"/>
        <w:gridCol w:w="958"/>
        <w:gridCol w:w="136"/>
        <w:gridCol w:w="109"/>
        <w:gridCol w:w="109"/>
        <w:gridCol w:w="109"/>
        <w:gridCol w:w="277"/>
        <w:gridCol w:w="810"/>
        <w:gridCol w:w="143"/>
        <w:gridCol w:w="109"/>
        <w:gridCol w:w="109"/>
        <w:gridCol w:w="109"/>
        <w:gridCol w:w="109"/>
        <w:gridCol w:w="109"/>
        <w:gridCol w:w="109"/>
        <w:gridCol w:w="233"/>
        <w:gridCol w:w="848"/>
        <w:gridCol w:w="179"/>
      </w:tblGrid>
      <w:tr>
        <w:trPr/>
        <w:tc>
          <w:tcPr>
            <w:tcW w:w="101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Europe/Middle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Asia/Pacific/Africa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r>
      <w:tr>
        <w:trPr/>
        <w:tc>
          <w:tcPr>
            <w:tcW w:w="2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81"/>
        <w:gridCol w:w="536"/>
        <w:gridCol w:w="538"/>
        <w:gridCol w:w="109"/>
        <w:gridCol w:w="109"/>
        <w:gridCol w:w="109"/>
        <w:gridCol w:w="228"/>
        <w:gridCol w:w="831"/>
        <w:gridCol w:w="118"/>
        <w:gridCol w:w="109"/>
        <w:gridCol w:w="109"/>
        <w:gridCol w:w="109"/>
        <w:gridCol w:w="226"/>
        <w:gridCol w:w="824"/>
        <w:gridCol w:w="117"/>
        <w:gridCol w:w="109"/>
        <w:gridCol w:w="109"/>
        <w:gridCol w:w="109"/>
        <w:gridCol w:w="255"/>
        <w:gridCol w:w="927"/>
        <w:gridCol w:w="131"/>
        <w:gridCol w:w="109"/>
        <w:gridCol w:w="109"/>
        <w:gridCol w:w="109"/>
        <w:gridCol w:w="266"/>
        <w:gridCol w:w="778"/>
        <w:gridCol w:w="137"/>
        <w:gridCol w:w="109"/>
        <w:gridCol w:w="109"/>
        <w:gridCol w:w="109"/>
        <w:gridCol w:w="109"/>
        <w:gridCol w:w="109"/>
        <w:gridCol w:w="109"/>
        <w:gridCol w:w="109"/>
        <w:gridCol w:w="229"/>
        <w:gridCol w:w="835"/>
        <w:gridCol w:w="177"/>
      </w:tblGrid>
      <w:tr>
        <w:trPr/>
        <w:tc>
          <w:tcPr>
            <w:tcW w:w="98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Europe/Middle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Asia/Pacific/Africa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 reconciliation from the segment information to the consolidated balances for income from operations is set forth below (in millions):</w:t>
      </w:r>
    </w:p>
    <w:p>
      <w:pPr>
        <w:pStyle w:val="TextBody"/>
        <w:bidi w:val="0"/>
        <w:spacing w:before="0" w:after="0"/>
        <w:jc w:val="left"/>
        <w:rPr/>
      </w:pPr>
      <w:r>
        <w:rPr/>
      </w:r>
    </w:p>
    <w:tbl>
      <w:tblPr>
        <w:tblW w:w="9561" w:type="dxa"/>
        <w:jc w:val="left"/>
        <w:tblInd w:w="0" w:type="dxa"/>
        <w:tblLayout w:type="fixed"/>
        <w:tblCellMar>
          <w:top w:w="28" w:type="dxa"/>
          <w:left w:w="28" w:type="dxa"/>
          <w:bottom w:w="28" w:type="dxa"/>
          <w:right w:w="28" w:type="dxa"/>
        </w:tblCellMar>
      </w:tblPr>
      <w:tblGrid>
        <w:gridCol w:w="1513"/>
        <w:gridCol w:w="1333"/>
        <w:gridCol w:w="1338"/>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51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from operations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business optimization expenses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income from operations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Our operations are subject to the cyclical and seasonal nature of the agricultural industry. Sales of our equipment are affected by, among other things, changes in farm income, farm land values and debt levels, financing costs, acreage planted, crop yields, weather conditions, the demand for agricultural commodities, commodity and protein prices, agricultural product demand and general economic conditions and government policies, tariffs and subsidies. We sell our equipment, precision agriculture technology and replacement parts to our independent dealers, distributors and other customers. A large majority of our sales are to independent dealers and distributors that sell our products to end users. To the extent practicable, we attempt to sell products to our dealers and distributors on a level basis throughout the year to reduce the effect of seasonal demands on our manufacturing operations and to minimize our investment in inventories. However, retail sales by dealers to farmers are highly seasonal and are a function of the timing of the planting and harvesting seasons. In certain markets, particularly in North America, there is often a time lag, which varies based on the timing and level of retail demand, between our sale of the equipment to the dealer and the dealer’s sale to a retail customer.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2025, the U.S. government implemented a series of tariffs on goods imported into the United States from various countries, and in many cases these measures resulted in reciprocal tariffs and other actions on goods exported from the United States. These tariffs and related actions are complex, continuously evolving and remain highly volatile as trade negotiations and legal challenges proceed. In February 2026, the U.S. Supreme Court ruled that the International Emergency Economic Powers Act (“IEEPA”), which the U.S. government had relied on to impose certain tariffs, does not authorize the administration to impose such tariffs. Following that decision, on March 4, 2026, the U.S. Court of International Trade (“CIT”) ordered U.S. Customs and Border Protection (“CBP”) to process refunds of tariffs imposed under IEEPA, and on March 27, 2026, the CIT issued an amended order expanding the scope of entries subject to reliquidation. On April 20, 2026, the Consolidated Administration and Processing of Entries system opened for the first phase of refund filings. We have submitted certain refund claims under this initial phase; however, these claims remain subject to CBP review, and we cannot predict the timing, amount or ultimate collectability of any refunds to which we may be entitled. The IEEPA tariffs refund process remains subject to CBP review, and the administration has appealed the CIT's refund order to the U.S. Court of Appeals for the Federal Circuit, contesting both the scope of the refund obligation and the reliquidation of finally liquidated entries for importers who have not filed individual lawsuits. It remains uncertain when, or to what extent, such refunds will ultimately be collected. Following the U.S. Supreme Court’s ruling, the administration has also imposed tariffs under alternative statutory authorities, the validity of which is also subject to legal challenge. As a result, the timing and extent of any refunds, the structure and scope of any new tariffs and the overall tariff framework remain uncertain and could create significant risks for our business. Depending on the countries affected, increases in tariffs have raised, and may continue to raise, the costs of inputs used in manufacturing our products, which in turn has impacted, and may further impact, our cost of goods sold. In addition, higher tariffs may lead to increased after</w:t>
        <w:noBreakHyphen/>
        <w:t>tariff sales prices for the products we sell. Additionally, the economic uncertainty caused by the tariffs may result in customers delaying planned purchases of products and services. While impacts of the tariffs may be partially mitigated by the fact that a majority of our sales and manufacturing takes place outside the United States, there can be no guarantee that we will be able to fully offset the impact of existing or future tariffs through pricing, sourcing changes or other measures. Furthermore, retaliatory tariffs imposed by other countries on our exported products could negatively affect our sales and marketplace access in those countries. The economic uncertainty caused by these tariffs and related trade policy developments, together with uncertainty regarding their enforceability, continuation or modification, has adversely impacted, and is expected to continue to adversely impact, our sales.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depend on suppliers for components, parts and raw materials for our products, and any failure by our suppliers to provide products as needed, or by us to promptly address supplier issues, will adversely impact our ability to timely and efficiently manufacture and sell products. We cannot predict or control the impact of the conflicts in Ukraine or the Middle East on our business. These conflicts have already driven increased volatility across global energy, logistics and input markets, leading to higher fuel, fertilizer, transportation and input costs, as well as general uncertainty for farmers. In addition, the potential of future natural gas shortages in Europe, as well as predicted overall shortages in other energy sources, could also negatively impact our production and that of our supply chain in the future. There can be no assurance that there will not be future disruptions.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tables set forth the percentage relationship to net sales of certain items included in our Condensed Consolidated Statements of Operations (in millions, except percentages):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4"/>
        <w:gridCol w:w="1414"/>
        <w:gridCol w:w="1340"/>
        <w:gridCol w:w="211"/>
        <w:gridCol w:w="766"/>
        <w:gridCol w:w="109"/>
        <w:gridCol w:w="109"/>
        <w:gridCol w:w="109"/>
        <w:gridCol w:w="109"/>
        <w:gridCol w:w="320"/>
        <w:gridCol w:w="313"/>
        <w:gridCol w:w="669"/>
        <w:gridCol w:w="109"/>
        <w:gridCol w:w="109"/>
        <w:gridCol w:w="109"/>
        <w:gridCol w:w="211"/>
        <w:gridCol w:w="766"/>
        <w:gridCol w:w="109"/>
        <w:gridCol w:w="109"/>
        <w:gridCol w:w="109"/>
        <w:gridCol w:w="109"/>
        <w:gridCol w:w="308"/>
        <w:gridCol w:w="308"/>
        <w:gridCol w:w="746"/>
      </w:tblGrid>
      <w:tr>
        <w:trPr/>
        <w:tc>
          <w:tcPr>
            <w:tcW w:w="163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of Net Sales</w:t>
            </w:r>
            <w:r>
              <w:rPr>
                <w:rFonts w:ascii="Times New Roman;serif" w:hAnsi="Times New Roman;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of Net Sales</w:t>
            </w:r>
            <w:r>
              <w:rPr>
                <w:rFonts w:ascii="Times New Roman;serif" w:hAnsi="Times New Roman;serif"/>
                <w:b/>
                <w:color w:val="000000"/>
                <w:sz w:val="10"/>
              </w:rPr>
              <w:t>(1)</w:t>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business optimization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net earnings of affiliates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equity in net earnings of affiliates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earnings of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AGCO Corporation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Rounding may impact summation of amounts.</w:t>
      </w:r>
    </w:p>
    <w:p>
      <w:pPr>
        <w:pStyle w:val="TextBody"/>
        <w:bidi w:val="0"/>
        <w:spacing w:before="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tbl>
      <w:tblPr>
        <w:tblW w:w="10205" w:type="dxa"/>
        <w:jc w:val="left"/>
        <w:tblInd w:w="0" w:type="dxa"/>
        <w:tblLayout w:type="fixed"/>
        <w:tblCellMar>
          <w:top w:w="28" w:type="dxa"/>
          <w:left w:w="28" w:type="dxa"/>
          <w:bottom w:w="28" w:type="dxa"/>
          <w:right w:w="28" w:type="dxa"/>
        </w:tblCellMar>
      </w:tblPr>
      <w:tblGrid>
        <w:gridCol w:w="1634"/>
        <w:gridCol w:w="1414"/>
        <w:gridCol w:w="1340"/>
        <w:gridCol w:w="211"/>
        <w:gridCol w:w="766"/>
        <w:gridCol w:w="109"/>
        <w:gridCol w:w="109"/>
        <w:gridCol w:w="109"/>
        <w:gridCol w:w="109"/>
        <w:gridCol w:w="320"/>
        <w:gridCol w:w="313"/>
        <w:gridCol w:w="669"/>
        <w:gridCol w:w="109"/>
        <w:gridCol w:w="109"/>
        <w:gridCol w:w="109"/>
        <w:gridCol w:w="211"/>
        <w:gridCol w:w="766"/>
        <w:gridCol w:w="109"/>
        <w:gridCol w:w="109"/>
        <w:gridCol w:w="109"/>
        <w:gridCol w:w="109"/>
        <w:gridCol w:w="308"/>
        <w:gridCol w:w="308"/>
        <w:gridCol w:w="746"/>
      </w:tblGrid>
      <w:tr>
        <w:trPr/>
        <w:tc>
          <w:tcPr>
            <w:tcW w:w="163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of Net Sales</w:t>
            </w:r>
            <w:r>
              <w:rPr>
                <w:rFonts w:ascii="Times New Roman;serif" w:hAnsi="Times New Roman;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of Net Sales</w:t>
            </w:r>
            <w:r>
              <w:rPr>
                <w:rFonts w:ascii="Times New Roman;serif" w:hAnsi="Times New Roman;serif"/>
                <w:b/>
                <w:color w:val="000000"/>
                <w:sz w:val="10"/>
              </w:rPr>
              <w:t>(1)</w:t>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business optimization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net earnings of affiliates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equity in net earnings of affiliates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earnings of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AGCO Corporation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Rounding may impact summation of amounts.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income attributable to AGCO Corporation for the three months ended June 30, 2026, was $77.2 million, or $1.08 per diluted share, compared to $314.8 million, or $4.22 per diluted share, for the three months ended June 30, 2025. Net income attributable to AGCO Corporation for the six months ended June 30, 2026, was $132.2 million, or $1.84 per diluted share, compared to $325.3 million, or $4.36 per diluted share, for the six months ended June 30,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during the three months ended June 30, 2026 were approximately $2,609.7 million, or 1.0% lower than the three months ended June 30, 2025, primarily due to lower sales volumes in the Europe/Middle East, Latin America and Asia/Pacific/Africa regions, most significantly in tractors and implements, partially offset by higher sales volumes in the North America region, most significantly in high-horsepower tractors and hay tools, and favorable currency translation. Income from operations was $140.7 million for the three months ended June 30, 2026 compared to $164.0 million in the three months ended June 30, 2025. The decrease in income from operations during 2026 was primarily the result of lower sales and production volumes, higher tariff-related costs, selling, general and administrative expenses (“SG&amp;A expenses”) and engineering expenses, partially offset by the benefit of certain IEEPA tariff refunds recognized during the period.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during the six months ended June 30, 2026 were approximately $4,952.6 million, or 5.7% higher than the six months ended June 30, 2025, primarily due to higher sales volumes in the North America, Europe/Middle East and Asia/Pacific/Africa regions, most significantly in high-horsepower tractors, and favorable currency translation, partially offset by lower sales volumes in Latin America, most significantly in tractors, implements and combines. Income from operations was $221.4 million for the six months ended June 30, 2026 compared to $213.4 million in the six months ended June 30, 2025. The increase in income from operations during 2026 was primarily the result of higher sales and production volumes, partially offset by higher tariff-related costs, SG&amp;A expenses and engineering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estimate that worldwide average price increases were approximately 2.2% and 0.1% for the three months ended June 30, 2026 and 2025, respectively, and 1.9% and 0.0% for the six months ended June 30, 2026 and 2025, respectively. Consolidated net sales of tractors and combines, which comprised approximately 67.7% and 67.4% of our net sales for the three and six months ended June 30, 2026, respectively, increased (decreased) approximately (1.5)% and 7.7% compared to the same periods in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Overall, global production hours increased (decreased) approximately (1.0)% and 6.2% during the three and six months ended June 30, 2026, respectively, compared to the same periods in 2025, reflecting our response to end market demand.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before="0" w:after="0"/>
        <w:ind w:left="0" w:right="0" w:hanging="36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Gross profit as a percentage of net sales decreased during the three months ended June 30, 2026 compared to the same period in 2025, primarily due to lower production volumes. Gross profit as a percentage of net sales decreased during the six months ended June 30, 2026 compared to the same period in 2025, primarily due to higher manufacturing costs, including increased tariff-related costs.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SG&amp;A expenses, as a percentage of net sales, were higher during the three months ended June 30, 2026 compared to the same period in 2025 as net sales decreased at a faster rate than SG&amp;A expenses. SG&amp;A expenses, as a percentage of net sales, were lower during the six months ended June 30, 2026 compared to the same period in 2025 as net sales increased at a faster rate than SG&amp;A expenses. The absolute level of SG&amp;A expenses increased during the three and six months ended June 30, 2026 primarily due to foreign currency translation. We recorded $17.1 million and $27.4 million of stock compensation expense within SG&amp;A expenses during the three and six months ended June 30, 2026, respectively, compared to $10.3 million and $17.4 million during the same periods in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Engineering expenses, as a percentage of net sales, were higher during the three and six months ended June 30, 2026 compared to the same periods in 2025 as net sales fluctuated at a slower rate than engineering expenses. The absolute value of engineering expenses increased during the three and six months ended June 30, 2026 driven by an increase in product innovation and other technology investments.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No impairment charges were recorded during the three months ended June 30, 2026, and impairment charges of $2.1 million were recorded during the six months ended June 30, 2026, compared to $6.8 million and $7.9 million recorded during the three and six months ended June 30, 2025, respectively, related to the impairment of certain other assets.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We recorded restructuring and business optimization expenses of $11.2 million and $21.2 million during the three and six months ended June 30, 2026, respectively, compared to $15.6 million and $28.6 million during the same periods in 2025. The Company announced a restructuring program (the “Program”) in response to increased weakening demand in the agriculture industry in 2024. The Company incurred a substantial portion of the charges by the end of fiscal year 2025. The restructuring expenses recorded during the three and six months ended June 30, 2026 and 2025 primarily related to severance, business optimization and other related costs associated with the Company's Program. Refer to </w:t>
      </w:r>
      <w:hyperlink w:anchor="i968c8d8a8fc741548799e059ce631ce9_55">
        <w:r>
          <w:rPr>
            <w:rStyle w:val="InternetLink"/>
            <w:rFonts w:ascii="Times New Roman;serif" w:hAnsi="Times New Roman;serif"/>
            <w:b w:val="false"/>
            <w:color w:val="0000FF"/>
            <w:sz w:val="20"/>
            <w:u w:val="single"/>
          </w:rPr>
          <w:t>Note 8</w:t>
        </w:r>
      </w:hyperlink>
      <w:r>
        <w:rPr>
          <w:color w:val="000000"/>
        </w:rPr>
        <w:t xml:space="preserve"> </w:t>
      </w:r>
      <w:r>
        <w:rPr>
          <w:rFonts w:ascii="Times New Roman;serif" w:hAnsi="Times New Roman;serif"/>
          <w:b w:val="false"/>
          <w:color w:val="000000"/>
          <w:sz w:val="20"/>
        </w:rPr>
        <w:t>of our Condensed Consolidated Financial Statements for further information.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recorded a loss on sale of business of $12.3 million during the three and six months ended June 30, 2025 related to the finalization of the preliminary working capital and other adjustments related to the sale of the majority of the Company's Grain &amp; Protein business.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Interest expense, net was $17.0 million and $32.2 million for the three and six months ended June 30, 2026, respectively, compared to $17.8 million and $36.3 million for the comparable periods in 2025, resulting primarily from a decrease in interest expense related to lower borrowings on the Company's Credit Facility. Refer to “Liquidity and Capital Resources” for further information on our available funding.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Other expense, net was $15.5 million and $42.0 million for the three and six months ended June 30, 2026, respectively, compared to $48.9 million and $81.2 million for the comparable periods in 2025. The decrease was primarily driven by a decrease in foreign currency exchange losses which were approximately $6.8 million and $12.0 million for the three and six months ended June 30, 2026, compared to $28.6 million and $42.2 million for the comparable periods in 2025. On April 30, 2026, the Company executed an Interests Purchase Agreement and Share Purchase Agreement (collectively the “Agreements”) with wholly owned subsidiaries of Rabobank to sell its 49% equity interests in the joint ventures in the U.S. and Canada, AGCO Finance LLC and AGCO Finance Canada, Ltd. (collectively the “North America AGCO Finance joint ventures”), respectively, for aggregate consideration of approximately $188.4 million. In connection with the Agreements, the Company entered into Financing Framework Agreements with wholly owned subsidiaries of Rabobank, which establish the commercial terms governing the future provision of financing solutions to dealers and farmers for those markets. Approximately $20.0 million of the total consideration, representing the estimated future net earnings associated with the run-off of the North America AGCO Finance portfolios existing as of the transaction date, was recognized in “Other expense, net” during the three and six months ended June 30, 2026. Losses on sales of receivables, primarily related to our accounts receivable sales agreements with our finance joint ventures in North America, Europe and Brazil and included in “Other expense, net,” were approximately $21.1 million and $39.7 million, for the three and six months ended June 30, 2026, compared to $19.8 million and $38.7 million for the comparable periods in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recorded an income tax provision (benefit) of $40.4 million and $45.0 million for the three and six months ended June 30, 2026, respectively, compared to $(205.5) million and $(203.5) million for the three and six months ended June 30, 2025. Our effective tax rate varies from period to period due to the mix of taxable income and losses in the various tax jurisdictions in which we operate. During the three and six months ended June 30, 2025, the Company’s income tax provision included a net tax benefit of $255.2 million related to a legal entity reorganization.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Equity in net earnings of affiliates, which is primarily comprised of income from our AGCO Finance joint ventures, was $7.0 million and $25.0 million for the three and six months ended June 30, 2026, respectively, compared to $11.6 million and $23.7 million for the three and six months ended June 30,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recorded a net loss attributable to noncontrolling interests of $2.4 million and $5.0 million during the three and six months ended June 30, 2026, respectively, compared to $0.4 million and $2.2 million recorded during the three and six months ended June 30, 2025. The net loss primarily relates to the noncontrolling interests of the PTx Trimble joint venture held by Trimble, which owns a 15% interest in the joint venture.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Results of Operations - Segment Information</w:t>
      </w:r>
    </w:p>
    <w:p>
      <w:pPr>
        <w:pStyle w:val="TextBody"/>
        <w:bidi w:val="0"/>
        <w:spacing w:before="0" w:after="0"/>
        <w:ind w:left="0" w:right="0" w:firstLine="36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has four operating segments which are also its reportable segments which consist of the Europe/Middle East (“EME”), North America, Latin America (“LATAM”) and Asia/Pacific/Africa (“APA”) regions. Effective January 1, 2026, the Company realigned its organizational structure to support its Farmer</w:t>
        <w:noBreakHyphen/>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 The Company’s reportable segments are geography based and distribute a full range of agricultural machinery and precision agriculture technology. The Company evaluates segment performance primarily based on income from operations. Sales for each segment are based on the location of the third-party customer. The Company’s selling, general and administrative expenses and engineering expenses are charged to each segment based on the region and division where the expenses are incurred. As a result, the components of income (loss) from operations for one segment may not be comparable to another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EME</w:t>
      </w:r>
    </w:p>
    <w:p>
      <w:pPr>
        <w:pStyle w:val="TextBody"/>
        <w:bidi w:val="0"/>
        <w:spacing w:before="0" w:after="0"/>
        <w:jc w:val="left"/>
        <w:rPr/>
      </w:pPr>
      <w:r>
        <w:rPr/>
      </w:r>
    </w:p>
    <w:tbl>
      <w:tblPr>
        <w:tblW w:w="9906" w:type="dxa"/>
        <w:jc w:val="left"/>
        <w:tblInd w:w="0" w:type="dxa"/>
        <w:tblLayout w:type="fixed"/>
        <w:tblCellMar>
          <w:top w:w="28" w:type="dxa"/>
          <w:left w:w="28" w:type="dxa"/>
          <w:bottom w:w="28" w:type="dxa"/>
          <w:right w:w="28" w:type="dxa"/>
        </w:tblCellMar>
      </w:tblPr>
      <w:tblGrid>
        <w:gridCol w:w="738"/>
        <w:gridCol w:w="646"/>
        <w:gridCol w:w="656"/>
        <w:gridCol w:w="211"/>
        <w:gridCol w:w="766"/>
        <w:gridCol w:w="109"/>
        <w:gridCol w:w="109"/>
        <w:gridCol w:w="109"/>
        <w:gridCol w:w="109"/>
        <w:gridCol w:w="211"/>
        <w:gridCol w:w="766"/>
        <w:gridCol w:w="109"/>
        <w:gridCol w:w="109"/>
        <w:gridCol w:w="109"/>
        <w:gridCol w:w="109"/>
        <w:gridCol w:w="211"/>
        <w:gridCol w:w="586"/>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in EME decreased in the three months ended June 30, 2026 compared to the three months ended June 30, 2025, primarily due to sales volume decreases, most significantly in high-horsepower and mid-range tractors, partially offset by favorable foreign currency translation. Income from operations for the three months ended June 30, 2026 was approximately flat compared to the three months ended June 30, 2025, despite lower sales.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in EME increased in the six months ended June 30, 2026 compared to the six months ended June 30, 2025, primarily due to sales volume increases, most significantly in high-horsepower tractors, and favorable foreign currency translation. Income from operations increased $103.5 million in the six months ended June 30, 2026 compared to the six months ended June 30, 2025 as a result of higher sales and production volumes and favorable product mix.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 America</w:t>
      </w:r>
    </w:p>
    <w:p>
      <w:pPr>
        <w:pStyle w:val="TextBody"/>
        <w:bidi w:val="0"/>
        <w:spacing w:before="0" w:after="0"/>
        <w:jc w:val="left"/>
        <w:rPr/>
      </w:pPr>
      <w:r>
        <w:rPr/>
      </w:r>
    </w:p>
    <w:tbl>
      <w:tblPr>
        <w:tblW w:w="9005" w:type="dxa"/>
        <w:jc w:val="left"/>
        <w:tblInd w:w="0" w:type="dxa"/>
        <w:tblLayout w:type="fixed"/>
        <w:tblCellMar>
          <w:top w:w="28" w:type="dxa"/>
          <w:left w:w="28" w:type="dxa"/>
          <w:bottom w:w="28" w:type="dxa"/>
          <w:right w:w="28" w:type="dxa"/>
        </w:tblCellMar>
      </w:tblPr>
      <w:tblGrid>
        <w:gridCol w:w="656"/>
        <w:gridCol w:w="574"/>
        <w:gridCol w:w="584"/>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in North America increased in the three months ended June 30, 2026 compared to the three months ended June 30, 2025, primarily due to sales volume increases, most significantly in high-horsepower tractors and hay tools. Loss from operations for the three months ended June 30, 2026 was approximately flat compared to the three months ended June 30, 2025, primarily due to higher tariff-related costs, partially offset by the benefit of certain IEEPA tariff refunds recognized during the period.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in North America increased in the six months ended June 30, 2026 compared to the six months ended June 30, 2025, primarily due to sales volume increases, most significantly in high-horsepower tractors and hay tools. Loss from operations increased $26.1 million in the six months ended June 30, 2026 compared to the six months ended June 30, 2025 primarily due to higher tariff-related costs partially offset by higher sales and production volumes.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LATAM</w:t>
      </w:r>
    </w:p>
    <w:p>
      <w:pPr>
        <w:pStyle w:val="TextBody"/>
        <w:bidi w:val="0"/>
        <w:spacing w:before="0" w:after="0"/>
        <w:jc w:val="left"/>
        <w:rPr/>
      </w:pPr>
      <w:r>
        <w:rPr/>
      </w:r>
    </w:p>
    <w:tbl>
      <w:tblPr>
        <w:tblW w:w="9861" w:type="dxa"/>
        <w:jc w:val="left"/>
        <w:tblInd w:w="0" w:type="dxa"/>
        <w:tblLayout w:type="fixed"/>
        <w:tblCellMar>
          <w:top w:w="28" w:type="dxa"/>
          <w:left w:w="28" w:type="dxa"/>
          <w:bottom w:w="28" w:type="dxa"/>
          <w:right w:w="28" w:type="dxa"/>
        </w:tblCellMar>
      </w:tblPr>
      <w:tblGrid>
        <w:gridCol w:w="911"/>
        <w:gridCol w:w="798"/>
        <w:gridCol w:w="811"/>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11"/>
        <w:gridCol w:w="616"/>
        <w:gridCol w:w="109"/>
        <w:gridCol w:w="109"/>
        <w:gridCol w:w="109"/>
        <w:gridCol w:w="109"/>
        <w:gridCol w:w="211"/>
        <w:gridCol w:w="616"/>
        <w:gridCol w:w="109"/>
        <w:gridCol w:w="109"/>
        <w:gridCol w:w="109"/>
        <w:gridCol w:w="109"/>
        <w:gridCol w:w="211"/>
        <w:gridCol w:w="691"/>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decreased in LATAM in the three months ended June 30, 2026 compared to the three months ended June 30, 2025, primarily due to sales volume declines, most significantly in tractors, implements and combines, partially offset by favorable foreign currency translation. Income from operations decreased $48.7 million in the three months ended June 30, 2026 compared to the three months ended June 30, 2025, as a result of lower sales and production volumes and higher engineering expenses.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decreased in LATAM in the six months ended June 30, 2026 compared to the six months ended June 30, 2025, primarily due to sales volume declines, most significantly in tractors, implements and combines, and negative pricing impacts, partially offset by favorable foreign currency translation. Income from operations decreased $96.1 million in the six months ended June 30, 2026 compared to the six months ended June 30, 2025, as a result of lower sales and production volumes, higher engineering expenses and negative pricing impacts.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APA</w:t>
      </w:r>
    </w:p>
    <w:p>
      <w:pPr>
        <w:pStyle w:val="TextBody"/>
        <w:bidi w:val="0"/>
        <w:spacing w:before="0" w:after="0"/>
        <w:jc w:val="left"/>
        <w:rPr/>
      </w:pPr>
      <w:r>
        <w:rPr/>
      </w:r>
    </w:p>
    <w:tbl>
      <w:tblPr>
        <w:tblW w:w="9096" w:type="dxa"/>
        <w:jc w:val="left"/>
        <w:tblInd w:w="0" w:type="dxa"/>
        <w:tblLayout w:type="fixed"/>
        <w:tblCellMar>
          <w:top w:w="28" w:type="dxa"/>
          <w:left w:w="28" w:type="dxa"/>
          <w:bottom w:w="28" w:type="dxa"/>
          <w:right w:w="28" w:type="dxa"/>
        </w:tblCellMar>
      </w:tblPr>
      <w:tblGrid>
        <w:gridCol w:w="738"/>
        <w:gridCol w:w="646"/>
        <w:gridCol w:w="656"/>
        <w:gridCol w:w="211"/>
        <w:gridCol w:w="616"/>
        <w:gridCol w:w="109"/>
        <w:gridCol w:w="109"/>
        <w:gridCol w:w="109"/>
        <w:gridCol w:w="109"/>
        <w:gridCol w:w="211"/>
        <w:gridCol w:w="616"/>
        <w:gridCol w:w="109"/>
        <w:gridCol w:w="109"/>
        <w:gridCol w:w="109"/>
        <w:gridCol w:w="109"/>
        <w:gridCol w:w="211"/>
        <w:gridCol w:w="481"/>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decreased in APA in the three months ended June 30, 2026 compared to the three months ended June 30, 2025, primarily due to sales volume decreases, most significantly in high-horsepower and mid-range tractors, partially offset by favorable foreign currency translation. Despite lower sales, income from operations for the three months ended June 30, 2026 was approximately flat compared to the three months ended June 30,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Net sales increased in APA in the six months ended June 30, 2026 compared to the six months ended June 30, 2025, primarily due to sales volume increases, most significantly in high-horsepower tractors, combines and sprayers, and favorable foreign currency translation. Income from operations increased $7.6 million in the six months ended June 30, 2026 compared to the six months ended June 30, 2025, primarily due to higher sales and production volumes.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Our financing requirements generally are subject to variations due to seasonal changes in inventory and receivable levels. Internally generated funds are supplemented when necessary from external sources, primarily our credit facilities and accounts receivable sales agreement facilities. Additional information regarding our indebtedness is contained in </w:t>
      </w:r>
      <w:hyperlink w:anchor="i968c8d8a8fc741548799e059ce631ce9_52">
        <w:r>
          <w:rPr>
            <w:rStyle w:val="InternetLink"/>
            <w:rFonts w:ascii="Times New Roman;serif" w:hAnsi="Times New Roman;serif"/>
            <w:b w:val="false"/>
            <w:color w:val="0000FF"/>
            <w:sz w:val="20"/>
            <w:u w:val="single"/>
          </w:rPr>
          <w:t>Note 7</w:t>
        </w:r>
      </w:hyperlink>
      <w:r>
        <w:rPr>
          <w:color w:val="000000"/>
        </w:rPr>
        <w:t xml:space="preserve"> </w:t>
      </w:r>
      <w:r>
        <w:rPr>
          <w:rFonts w:ascii="Times New Roman;serif" w:hAnsi="Times New Roman;serif"/>
          <w:b w:val="false"/>
          <w:color w:val="000000"/>
          <w:sz w:val="20"/>
        </w:rPr>
        <w:t>to the Condensed Consolidated Financial Statements. We believe that the borrowings and facilities listed below, together with available cash and internally generated funds, and assuming customary renewals and replacements, will be sufficient to support our working capital, capital expenditures and debt service requirements for the foreseeable future (in millions):</w:t>
      </w:r>
    </w:p>
    <w:p>
      <w:pPr>
        <w:pStyle w:val="TextBody"/>
        <w:bidi w:val="0"/>
        <w:spacing w:before="0" w:after="0"/>
        <w:jc w:val="left"/>
        <w:rPr/>
      </w:pPr>
      <w:r>
        <w:rPr/>
      </w:r>
    </w:p>
    <w:tbl>
      <w:tblPr>
        <w:tblW w:w="5308" w:type="dxa"/>
        <w:jc w:val="left"/>
        <w:tblInd w:w="0" w:type="dxa"/>
        <w:tblLayout w:type="fixed"/>
        <w:tblCellMar>
          <w:top w:w="28" w:type="dxa"/>
          <w:left w:w="28" w:type="dxa"/>
          <w:bottom w:w="28" w:type="dxa"/>
          <w:right w:w="28" w:type="dxa"/>
        </w:tblCellMar>
      </w:tblPr>
      <w:tblGrid>
        <w:gridCol w:w="1400"/>
        <w:gridCol w:w="1232"/>
        <w:gridCol w:w="1237"/>
        <w:gridCol w:w="309"/>
        <w:gridCol w:w="904"/>
        <w:gridCol w:w="226"/>
      </w:tblGrid>
      <w:tr>
        <w:trPr/>
        <w:tc>
          <w:tcPr>
            <w:tcW w:w="140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June 30, 2026</w:t>
            </w:r>
            <w:r>
              <w:rPr>
                <w:rFonts w:ascii="Times New Roman;serif" w:hAnsi="Times New Roman;serif"/>
                <w:b/>
                <w:color w:val="000000"/>
                <w:sz w:val="10"/>
              </w:rPr>
              <w:t>(1)</w:t>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expires 2027</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5.450% Senior notes due 2027</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5.800% Senior notes due 2034</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0.800%</w:t>
            </w:r>
            <w:r>
              <w:rPr>
                <w:color w:val="000000"/>
              </w:rPr>
              <w:t xml:space="preserve"> </w:t>
            </w:r>
            <w:r>
              <w:rPr>
                <w:rFonts w:ascii="Times New Roman;serif" w:hAnsi="Times New Roman;serif"/>
                <w:b w:val="false"/>
                <w:color w:val="000000"/>
                <w:sz w:val="20"/>
              </w:rPr>
              <w:t>Senior notes due 2028</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EIB Senior term loan due 2029</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EIB Senior term loan due 2030</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term loans due between 2026 and 2028</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The amounts above are gross of debt issuance costs of an aggregate amount of approximately $8.4 million.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has a credit facility providing for a $1.25 billion multi-currency unsecured revolving credit facility (“Credit Facility”) that matures on December 19, 2027. As of June 30, 2026, the Company had $290.0 million in outstanding borrowings under the revolving credit facility and had the ability to borrow $960.0 million.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addition, the Company has an uncommitted revolving credit facility that allows the Company to borrow up to €200.0 million (or approximately $228.0 million as of June 30, 2026). The credit facility expires on December 31, 2026. As of June 30, 2026, the Company had no outstanding borrowings under the revolving credit facility.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AGCO Finance joint ventures offer both retail financing and wholesale financing to our dealers in the U.S., Canada, Europe, Brazil, Argentina, and Australia. The equity joint ventures are structured with AGCO holding a 49% ownership interest, with the remaining interest owned by a wholly owned subsidiary of Rabobank. The Company continually evaluates opportunities to optimize regulatory capital efficiency and capital deployment, while strengthening its strategic partnership with Rabobank and its commitment to providing competitive financing solutions to farmers and dealers.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To better align with evolving market dynamics and increasing regulatory and compliance requirements, on April 30, 2026, the Company executed an Interests Purchase Agreement and Share Purchase Agreement (collectively the “Agreements”) with wholly owned subsidiaries of Rabobank to sell its 49% equity interests in the joint ventures in the U.S. and Canada, AGCO Finance LLC and AGCO Finance Canada, Ltd. (collectively the “North America AGCO Finance joint ventures”), respectively, for aggregate consideration of approximately $188.4 million. The consideration consisted of (i) approximately $168.4 million, representing the carrying value of the Company's equity interests in the North America AGCO Finance joint ventures, previously included in “Investments in affiliates” on the Company's Condensed Consolidated Balance Sheets, and (ii) approximately $20.0 million, representing the estimated future net earnings associated with the run-off of the North America AGCO Finance portfolios existing as of the transaction date, which was recognized in “Other expense, net” within the Company's Condensed Consolidated Statements of Operations during the three and six months ended June 30, 2026. The proceeds were used as a source of funding for the Company's most recent share repurchase program executed in the second quarter of 2026. In connection with the Agreements, the Company entered into Financing Framework Agreements with wholly owned subsidiaries of Rabobank, which establish the commercial terms governing the future provision of financing solutions to dealers and farmers for those markets. The Company will continue to evaluate similar agreements in respect of other joint ventures with wholly owned subsidiaries of Rabobank in the future. This structural evolution strengthens the Company’s Farmer</w:t>
        <w:noBreakHyphen/>
        <w:t>First strategy, ensures continued access to competitive financing offerings, and allows AGCO and Rabobank and its subsidiaries to more effectively address increasing regulatory and compliance requirements.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had redeemable noncontrolling interests of $292.4 million as of June 30, 2026 resulting from the PTx Trimble joint venture transaction, which may require the use of cash in certain instances, beginning in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is in compliance with the financial covenants contained in these facilities and expects to continue to maintain such compliance. Should we ever encounter difficulties, our historical relationship with our lenders has been strong, and we anticipate their continued long-term support of our business.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Our debt to capitalization ratio, which is total indebtedness divided by the sum of total indebtedness, excluding short-term borrowings due within one year, and stockholders’ equity, was 39.3% and 35.8% at June 30, 2026 and December 31,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Supplemental Guarantor Financial Information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On March 21, 2024, the Company issued (i) $400.0 million aggregate principal amount of 5.450% Senior Notes due 2027 (the “2027 Notes”) and (ii) $700.0 million aggregate principal amount of 5.800% Senior Notes due 2034 (the “2034 Notes”, and together with the 2027 Notes, the “Notes”). The 2027 Notes and the 2034 Notes are unsecured and unsubordinated indebtedness of the Company and are guaranteed on a senior unsecured basis, jointly and severally, by AGCO International Holdings B.V., AGCO International GmbH and Massey Ferguson Corp., direct and indirect subsidiaries of the Company (collectively, the “Guarantors”).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tables present summarized financial information of AGCO Corporation, as the issuer of the 2027 Notes and the 2034 Notes, and the Guarantors on a combined basis after elimination of intercompany transactions and balances within the Guarantors and equity in the earnings from and investments in any non-guarantor subsidiary. As used herein, “obligor group” means AGCO Corporation, as the issuer of the debt securities, and the Guarantors on a combined basis. The summarized financial information is provided in accordance with the reporting requirements of Rule 13-01 under SEC Regulation S-X for the obligor group and is not intended to present the financial position or results of operations of the obligor group in accordance with generally accepted accounting principles as such principles are in effect in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Balance Sheet Information</w:t>
      </w:r>
    </w:p>
    <w:p>
      <w:pPr>
        <w:pStyle w:val="TextBody"/>
        <w:bidi w:val="0"/>
        <w:spacing w:before="0" w:after="0"/>
        <w:jc w:val="left"/>
        <w:rPr/>
      </w:pPr>
      <w:r>
        <w:rPr/>
      </w:r>
    </w:p>
    <w:tbl>
      <w:tblPr>
        <w:tblW w:w="6280" w:type="dxa"/>
        <w:jc w:val="left"/>
        <w:tblInd w:w="0" w:type="dxa"/>
        <w:tblLayout w:type="fixed"/>
        <w:tblCellMar>
          <w:top w:w="28" w:type="dxa"/>
          <w:left w:w="28" w:type="dxa"/>
          <w:bottom w:w="28" w:type="dxa"/>
          <w:right w:w="28" w:type="dxa"/>
        </w:tblCellMar>
      </w:tblPr>
      <w:tblGrid>
        <w:gridCol w:w="717"/>
        <w:gridCol w:w="629"/>
        <w:gridCol w:w="633"/>
        <w:gridCol w:w="338"/>
        <w:gridCol w:w="1227"/>
        <w:gridCol w:w="174"/>
        <w:gridCol w:w="109"/>
        <w:gridCol w:w="109"/>
        <w:gridCol w:w="109"/>
        <w:gridCol w:w="417"/>
        <w:gridCol w:w="1514"/>
        <w:gridCol w:w="304"/>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assets</w:t>
            </w:r>
            <w:r>
              <w:rPr>
                <w:rFonts w:ascii="Times New Roman;serif" w:hAnsi="Times New Roman;serif"/>
                <w:b w:val="false"/>
                <w:color w:val="000000"/>
                <w:sz w:val="10"/>
              </w:rPr>
              <w:t>(a)</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assets</w:t>
            </w:r>
            <w:r>
              <w:rPr>
                <w:rFonts w:ascii="Times New Roman;serif" w:hAnsi="Times New Roman;serif"/>
                <w:b w:val="false"/>
                <w:color w:val="000000"/>
                <w:sz w:val="10"/>
              </w:rPr>
              <w:t>(b)</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liabilities</w:t>
            </w:r>
            <w:r>
              <w:rPr>
                <w:rFonts w:ascii="Times New Roman;serif" w:hAnsi="Times New Roman;serif"/>
                <w:b w:val="false"/>
                <w:color w:val="000000"/>
                <w:sz w:val="10"/>
              </w:rPr>
              <w:t>(c)</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liabilities</w:t>
            </w:r>
            <w:r>
              <w:rPr>
                <w:rFonts w:ascii="Times New Roman;serif" w:hAnsi="Times New Roman;serif"/>
                <w:b w:val="false"/>
                <w:color w:val="000000"/>
                <w:sz w:val="10"/>
              </w:rPr>
              <w:t>(d)</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Includes amounts due from non-guarantor subsidiaries of $2,776.9 million and $2,628.9 million as of June 30, 2026 and December 31, 2025, respectively.</w:t>
      </w:r>
    </w:p>
    <w:p>
      <w:pPr>
        <w:pStyle w:val="TextBody"/>
        <w:bidi w:val="0"/>
        <w:spacing w:lineRule="auto" w:line="288" w:before="40" w:after="283"/>
        <w:ind w:left="0" w:right="0" w:hanging="270"/>
        <w:jc w:val="left"/>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Includes amounts due from non-guarantor subsidiaries of $280.3 million and $108.2 million as of June 30, 2026 and December 31, 2025, respectively.</w:t>
      </w:r>
    </w:p>
    <w:p>
      <w:pPr>
        <w:pStyle w:val="TextBody"/>
        <w:bidi w:val="0"/>
        <w:spacing w:lineRule="auto" w:line="288" w:before="40" w:after="283"/>
        <w:ind w:left="0" w:right="0" w:hanging="270"/>
        <w:jc w:val="left"/>
        <w:rPr/>
      </w:pPr>
      <w:r>
        <w:rPr>
          <w:rFonts w:ascii="Times New Roman;serif" w:hAnsi="Times New Roman;serif"/>
          <w:b w:val="false"/>
          <w:color w:val="000000"/>
          <w:sz w:val="10"/>
        </w:rPr>
        <w:t>(c)</w:t>
      </w:r>
      <w:r>
        <w:rPr>
          <w:color w:val="000000"/>
        </w:rPr>
        <w:t>    </w:t>
      </w:r>
      <w:r>
        <w:rPr>
          <w:rFonts w:ascii="Times New Roman;serif" w:hAnsi="Times New Roman;serif"/>
          <w:b w:val="false"/>
          <w:color w:val="000000"/>
          <w:sz w:val="16"/>
        </w:rPr>
        <w:t>Includes amounts due to non-guarantor subsidiaries of $2,445.5 million and $2,557.6 million as of June 30, 2026 and December 31, 2025, respectively.</w:t>
      </w:r>
    </w:p>
    <w:p>
      <w:pPr>
        <w:pStyle w:val="TextBody"/>
        <w:bidi w:val="0"/>
        <w:spacing w:lineRule="auto" w:line="288" w:before="40" w:after="283"/>
        <w:ind w:left="0" w:right="0" w:hanging="270"/>
        <w:jc w:val="left"/>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Includes amounts due to non-guarantor subsidiaries of $1,861.1 million and $1,556.0 million as of June 30, 2026 and December 31,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Statement of Operations Information</w:t>
      </w:r>
    </w:p>
    <w:p>
      <w:pPr>
        <w:pStyle w:val="TextBody"/>
        <w:bidi w:val="0"/>
        <w:spacing w:before="0" w:after="0"/>
        <w:jc w:val="left"/>
        <w:rPr/>
      </w:pPr>
      <w:r>
        <w:rPr/>
      </w:r>
    </w:p>
    <w:tbl>
      <w:tblPr>
        <w:tblW w:w="6030" w:type="dxa"/>
        <w:jc w:val="left"/>
        <w:tblInd w:w="0" w:type="dxa"/>
        <w:tblLayout w:type="fixed"/>
        <w:tblCellMar>
          <w:top w:w="28" w:type="dxa"/>
          <w:left w:w="28" w:type="dxa"/>
          <w:bottom w:w="28" w:type="dxa"/>
          <w:right w:w="28" w:type="dxa"/>
        </w:tblCellMar>
      </w:tblPr>
      <w:tblGrid>
        <w:gridCol w:w="1137"/>
        <w:gridCol w:w="996"/>
        <w:gridCol w:w="1002"/>
        <w:gridCol w:w="540"/>
        <w:gridCol w:w="1961"/>
        <w:gridCol w:w="394"/>
      </w:tblGrid>
      <w:tr>
        <w:trPr/>
        <w:tc>
          <w:tcPr>
            <w:tcW w:w="113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Revenues</w:t>
            </w:r>
            <w:r>
              <w:rPr>
                <w:rFonts w:ascii="Times New Roman;serif" w:hAnsi="Times New Roman;serif"/>
                <w:b w:val="false"/>
                <w:color w:val="000000"/>
                <w:sz w:val="10"/>
              </w:rPr>
              <w:t>(a)</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3,837.5 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obligor group</w:t>
            </w:r>
          </w:p>
        </w:tc>
        <w:tc>
          <w:tcPr>
            <w:tcW w:w="2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Includes intercompany revenues generated from non-guarantor subsidiaries of $2,627.3 million.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tables present summarized financial information of AGCO International GmbH, after elimination of intercompany transactions and balances within the Guarantors and equity in the earnings from and investments in any non-guarantor subsidiary.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Balance Sheet Information</w:t>
      </w:r>
    </w:p>
    <w:p>
      <w:pPr>
        <w:pStyle w:val="TextBody"/>
        <w:bidi w:val="0"/>
        <w:spacing w:before="0" w:after="0"/>
        <w:jc w:val="left"/>
        <w:rPr/>
      </w:pPr>
      <w:r>
        <w:rPr/>
      </w:r>
    </w:p>
    <w:tbl>
      <w:tblPr>
        <w:tblW w:w="6280" w:type="dxa"/>
        <w:jc w:val="left"/>
        <w:tblInd w:w="0" w:type="dxa"/>
        <w:tblLayout w:type="fixed"/>
        <w:tblCellMar>
          <w:top w:w="28" w:type="dxa"/>
          <w:left w:w="28" w:type="dxa"/>
          <w:bottom w:w="28" w:type="dxa"/>
          <w:right w:w="28" w:type="dxa"/>
        </w:tblCellMar>
      </w:tblPr>
      <w:tblGrid>
        <w:gridCol w:w="717"/>
        <w:gridCol w:w="629"/>
        <w:gridCol w:w="633"/>
        <w:gridCol w:w="338"/>
        <w:gridCol w:w="1227"/>
        <w:gridCol w:w="174"/>
        <w:gridCol w:w="109"/>
        <w:gridCol w:w="109"/>
        <w:gridCol w:w="109"/>
        <w:gridCol w:w="417"/>
        <w:gridCol w:w="1514"/>
        <w:gridCol w:w="304"/>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assets</w:t>
            </w:r>
            <w:r>
              <w:rPr>
                <w:rFonts w:ascii="Times New Roman;serif" w:hAnsi="Times New Roman;serif"/>
                <w:b w:val="false"/>
                <w:color w:val="000000"/>
                <w:sz w:val="10"/>
              </w:rPr>
              <w:t>(a)</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3,661.3 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assets</w:t>
            </w:r>
            <w:r>
              <w:rPr>
                <w:rFonts w:ascii="Times New Roman;serif" w:hAnsi="Times New Roman;serif"/>
                <w:b w:val="false"/>
                <w:color w:val="000000"/>
                <w:sz w:val="10"/>
              </w:rPr>
              <w:t>(b)</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liabilities</w:t>
            </w:r>
            <w:r>
              <w:rPr>
                <w:rFonts w:ascii="Times New Roman;serif" w:hAnsi="Times New Roman;serif"/>
                <w:b w:val="false"/>
                <w:color w:val="000000"/>
                <w:sz w:val="10"/>
              </w:rPr>
              <w:t>(c)</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3,281.7 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liabilities</w:t>
            </w:r>
            <w:r>
              <w:rPr>
                <w:rFonts w:ascii="Times New Roman;serif" w:hAnsi="Times New Roman;serif"/>
                <w:b w:val="false"/>
                <w:color w:val="000000"/>
                <w:sz w:val="10"/>
              </w:rPr>
              <w:t>(d)</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Includes amounts due from non-guarantor subsidiaries of $2,420.3 million and $2,329.1 million as of June 30, 2026 and December 31, 2025, respectively.</w:t>
      </w:r>
    </w:p>
    <w:p>
      <w:pPr>
        <w:pStyle w:val="TextBody"/>
        <w:bidi w:val="0"/>
        <w:spacing w:lineRule="auto" w:line="288" w:before="40" w:after="283"/>
        <w:ind w:left="0" w:right="0" w:hanging="270"/>
        <w:jc w:val="left"/>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Includes amounts due from non-guarantor subsidiaries of $274.7 million and $102.6 million as of June 30, 2026 and December 31, 2025, respectively.</w:t>
      </w:r>
    </w:p>
    <w:p>
      <w:pPr>
        <w:pStyle w:val="TextBody"/>
        <w:bidi w:val="0"/>
        <w:spacing w:lineRule="auto" w:line="288" w:before="40" w:after="283"/>
        <w:ind w:left="0" w:right="0" w:hanging="270"/>
        <w:jc w:val="left"/>
        <w:rPr/>
      </w:pPr>
      <w:r>
        <w:rPr>
          <w:rFonts w:ascii="Times New Roman;serif" w:hAnsi="Times New Roman;serif"/>
          <w:b w:val="false"/>
          <w:color w:val="000000"/>
          <w:sz w:val="10"/>
        </w:rPr>
        <w:t>(c)</w:t>
      </w:r>
      <w:r>
        <w:rPr>
          <w:color w:val="000000"/>
        </w:rPr>
        <w:t>    </w:t>
      </w:r>
      <w:r>
        <w:rPr>
          <w:rFonts w:ascii="Times New Roman;serif" w:hAnsi="Times New Roman;serif"/>
          <w:b w:val="false"/>
          <w:color w:val="000000"/>
          <w:sz w:val="16"/>
        </w:rPr>
        <w:t>Includes amounts due to non-guarantor subsidiaries of $2,306.1 million and $2,368.1 million as of June 30, 2026 and December 31, 2025, respectively.</w:t>
      </w:r>
    </w:p>
    <w:p>
      <w:pPr>
        <w:pStyle w:val="TextBody"/>
        <w:bidi w:val="0"/>
        <w:spacing w:lineRule="auto" w:line="288" w:before="40" w:after="283"/>
        <w:ind w:left="0" w:right="0" w:hanging="270"/>
        <w:jc w:val="left"/>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Includes amounts due to non-guarantor subsidiaries of $1,861.1 million and $1,556.0 million as of June 30, 2026 and December 31,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Statement of Operations Information</w:t>
      </w:r>
    </w:p>
    <w:p>
      <w:pPr>
        <w:pStyle w:val="TextBody"/>
        <w:bidi w:val="0"/>
        <w:spacing w:before="0" w:after="0"/>
        <w:jc w:val="left"/>
        <w:rPr/>
      </w:pPr>
      <w:r>
        <w:rPr/>
      </w:r>
    </w:p>
    <w:tbl>
      <w:tblPr>
        <w:tblW w:w="6314" w:type="dxa"/>
        <w:jc w:val="left"/>
        <w:tblInd w:w="0" w:type="dxa"/>
        <w:tblLayout w:type="fixed"/>
        <w:tblCellMar>
          <w:top w:w="28" w:type="dxa"/>
          <w:left w:w="28" w:type="dxa"/>
          <w:bottom w:w="28" w:type="dxa"/>
          <w:right w:w="28" w:type="dxa"/>
        </w:tblCellMar>
      </w:tblPr>
      <w:tblGrid>
        <w:gridCol w:w="1240"/>
        <w:gridCol w:w="1086"/>
        <w:gridCol w:w="1093"/>
        <w:gridCol w:w="540"/>
        <w:gridCol w:w="1961"/>
        <w:gridCol w:w="394"/>
      </w:tblGrid>
      <w:tr>
        <w:trPr/>
        <w:tc>
          <w:tcPr>
            <w:tcW w:w="124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Revenues</w:t>
            </w:r>
            <w:r>
              <w:rPr>
                <w:rFonts w:ascii="Times New Roman;serif" w:hAnsi="Times New Roman;serif"/>
                <w:b w:val="false"/>
                <w:color w:val="000000"/>
                <w:sz w:val="10"/>
              </w:rPr>
              <w:t>(a)</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3,108.7 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obligor group</w:t>
            </w:r>
          </w:p>
        </w:tc>
        <w:tc>
          <w:tcPr>
            <w:tcW w:w="2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Includes intercompany revenues generated from non-guarantor subsidiaries of $2,458.1 million.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Our accounts receivable sales agreements in North America, Europe and Brazil permit the sale, on an ongoing basis, of a majority of our receivables to our U.S., Canadian, European and Brazilian finance joint ventures. The sales of all receivables are without recourse to us. We do not service the receivables after the sales occur, and we do not maintain any direct retained interest in the receivables. These agreements are accounted for as off-balance sheet transactions. The cash received from receivables sold under these accounts receivable sales agreements that remain outstanding as of June 30, 2026 and December 31, 2025 was approximately $1.8 billion and $2.1 billion, respectively.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addition, we sell certain trade receivables under factoring arrangements to other financial institutions around the world. The cash received from trade receivables sold under factoring arrangements that remain outstanding as of June 30, 2026 and December 31, 2025 was approximately $257.2 million and $270.5 million, respectively.</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In order to efficiently manage our liquidity, we generally pay vendors in accordance with negotiated terms. To enable vendors to obtain payment in advance of our payment due dates to them, we have established programs in certain markets with financial institutions under which the vendors have the option to be paid by the financial institutions earlier than the payment due dates. Should we not be able to negotiate extended payment terms with our vendors, or should financial institutions no longer be willing to participate in early payment programs with us, we would expect to have sufficient liquidity to timely pay our vendors without any material impact on us or our financial position. As of June 30, 2026 and December 31, 2025, the amount outstanding that remains unpaid to the banks or other intermediaries associated with these programs totaled $41.8 million and $31.7 million, respectively. Refer to </w:t>
      </w:r>
      <w:hyperlink w:anchor="i968c8d8a8fc741548799e059ce631ce9_49">
        <w:r>
          <w:rPr>
            <w:rStyle w:val="InternetLink"/>
            <w:rFonts w:ascii="Times New Roman;serif" w:hAnsi="Times New Roman;serif"/>
            <w:b w:val="false"/>
            <w:color w:val="0000FF"/>
            <w:sz w:val="20"/>
            <w:u w:val="single"/>
          </w:rPr>
          <w:t>Note 6</w:t>
        </w:r>
      </w:hyperlink>
      <w:r>
        <w:rPr>
          <w:color w:val="000000"/>
        </w:rPr>
        <w:t xml:space="preserve"> </w:t>
      </w:r>
      <w:r>
        <w:rPr>
          <w:rFonts w:ascii="Times New Roman;serif" w:hAnsi="Times New Roman;serif"/>
          <w:b w:val="false"/>
          <w:color w:val="000000"/>
          <w:sz w:val="20"/>
        </w:rPr>
        <w:t>of our Condensed Consolidated Financial Statements for further discussion.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Cash flows used in operating activities were approximately $245.0 million for the first six months of 2026 compared to cash flows provided by operating activities of approximately $153.5 million for the same period in 2025. Cash used in operating activities during the six months ended June 30, 2026 was driven by changes in working capital.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Our working capital requirements are seasonal, with investments in working capital typically building in the first half of the year and then reducing in the second half of the year. We had approximately $1,296.5 million in working capital at June 30, 2026 as compared to $1,467.0 million at December 31, 2025. Inventories as of June 30, 2026 were approximately $3,007.1 million as compared to $2,709.3 million at December 31, 2025. Accounts and notes receivable, net, as of June 30, 2026 were approximately $152.7 million higher than at December 31, 2025 primarily due to timing of sales of accounts receivable under our factoring arrangements. Accounts payable and Accrued expenses as of June 30, 2026 were approximately $118.8 million lower than at December 31, 2025. Borrowings due within one year increased by approximately $429.0 million as of June 30, 2026, primarily due to the reclassification of the $400.0 million 5.450% Senior notes to current liabilities, as the notes mature on March 21, 2027.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Capital expenditures for the first six months of 2026 were approximately $101.8 million compared to $90.4 million for the same period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Repurchase Program and Dividends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On July 9, 2025, the Company's Board of Directors authorized a new share repurchase program authorizing the Company to repurchase up to $1.0 billion of the Company's common stock, which has no expiration date. In May 2026, the Company entered into an accelerated share repurchase (“ASR”) agreement with a financial institution to repurchase an aggregate of $293.0 million of shares of its common stock. The Company received approximately 1,997,613 shares associated with this transaction as of June 30, 2026. In November 2025, the Company entered into ASR agreements with two financial institutions to repurchase an aggregate of $250.0 million of shares of its common stock. The Company received approximately 1,997,204 shares associated with these transactions as of December 31, 2025. In February 2026, the Company received an additional 333,755 shares upon final settlement of its November 2025 ASR agreements. All shares received under the ASR agreements were retired upon receipt, and the excess of the purchase price over par value per share was recorded to a combination of “Additional paid-in capital” and “Retained earnings” within the Company’s Condensed Consolidated Balance Sheets. In conjunction with the Cooperation Agreement entered into with Tractors and Farm Equipment Limited (“TAFE”) in June 2025 (the “Cooperation Agreement”), TAFE agreed to participate on a pro rata basis in the Company’s share repurchase programs as authorized by the Company’s Board of Directors from time to time. Under the Cooperation Agreement, TAFE also retains the right to maintain its existing percentage of beneficial ownership of the Company’s common stock. In February 2026, pursuant to the Cooperation Agreement, the Company committed to repurchase a pro-rata amount of shares from TAFE related to the Company's share repurchase program executed in the fourth quarter of 2025. The Company accounted for this arrangement as a forward share repurchase contract and, as of March 31, 2026, recorded a liability. Settlement occurred in May 2026, resulting in the repurchase of 422,590 shares for approximately $52.1 million. The shares repurchased were retired upon receipt, and the excess of the purchase price over par value per share was recorded to a combination of “Additional paid-in capital” and “Retained earnings” within the Company’s Condensed Consolidated Balance Sheets. As of June 30, 2026, the remaining amount authorized to be repurchased under board-approved share repurchase authorizations was approximately $439.9 million, which has no expiration date.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During the three months ended June 30, 2026 and 2025, the Company declared and paid cash dividends of $0.30 and $0.29 per common share, respectively. During the six months ended June 30, 2026 and 2025, the Company declared and paid cash dividends of $0.59 and $0.58 per common share, respectively. On April 23, 2026, the Company's Board of Directors approved an increase in the Company's regular quarterly dividend to $0.30 per share, from $0.29 per share. On July 8, 2026, the Company's Board of Directors declared a regular quarterly dividend of $0.30 per common share to be paid on September 15, 2026, to all stockholders of record as of the close of business on August 14,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COMMITMENTS, OFF-BALANCE SHEET ARRANGEMENTS AND CONTINGENCIES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are party to a number of commitments and other financial arrangements, which may include off-balance sheet arrangements. At June 30, 2026, we had outstanding guarantees issued to our Argentine finance joint venture, AGCO Capital, of approximately $81.7 million. In addition, the Company guarantees residual values that may be owed to its finance joint ventures, primarily in the United States and Canada, due upon expiration of certain eligible operating leases between the finance joint ventures and end users. At June 30, 2026, the Company had accrued approximately $12.7 million of outstanding guarantees of residual values related to the United States and Canada. The maximum potential amount of future payments under these guarantees is approximately $235.7 million.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sell certain accounts receivable under factoring arrangements to our finance joint ventures and to financial institutions around the world. We account for the sale of such receivables as off balance sheet transactions. Our finance joint ventures in Europe, Brazil and Australia also provide wholesale financing directly to our dealers. As of June 30, 2026 and December 31, 2025, these finance joint ventures had approximately $112.2 million and $107.5 million, respectively, of outstanding accounts receivable associated with these arrangements. The total finance portfolio in our finance joint ventures was approximately $15.1 billion and $15.1 billion as of June 30, 2026 and December 31, 2025, respectively. The total finance portfolio as of June 30, 2026 and December 31, 2025 included approximately $12.8 billion and $12.7 billion, respectively, of retail receivables and $2.3 billion and $2.4 billion, respectively, of wholesale receivables from AGCO dealers.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We are party to various claims and lawsuits arising in the normal course of business. We closely monitor these claims and lawsuits and frequently consult with our legal counsel to determine whether they may, when resolved, have a material adverse effect on our financial position or results of operations and accrue and/or disclose loss contingencies as appropriate. Refer to </w:t>
      </w:r>
      <w:hyperlink w:anchor="i968c8d8a8fc741548799e059ce631ce9_76">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color w:val="000000"/>
          <w:sz w:val="20"/>
        </w:rPr>
        <w:t>of our Condensed Consolidated Financial Statements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Global industry demand for farm equipment, driven by farm income, is expected to be relatively flat during 2026 in most major markets compared to 2025. Our net sales are expected to modestly increase in 2026 compared to 2025, resulting from positive pricing, favorable currency translation and sales mix. Operating margins will reflect the impact of modestly higher net sales, positive pricing, relatively flat to lower production volumes and continued cost controls, partially offset by tariff headwinds.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Our outlook is based on current assumptions regarding a number of factors including demand, currency stability, pricing and market share gains. If our assumptions are incorrect, or other issues arise or return, such as tariffs or a worsening of our supply chain, our results of operations will be adversely impacted. Refer to “Risk Factors” in Item 1A of Part I of our Annual Report on Form 10-K for the year ended December 31, 2025 for further discussion.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discussion and analysis of our financial condition and results of operations are based upon our Condensed Consolidated Financial Statements, which have been prepared in accordance with U.S. generally accepted accounting principles. The preparation of these financial statements requires management to make estimates and judgments that affect the reported amounts of assets, liabilities, revenues and expenses and related disclosures of contingent assets and liabilities. On an ongoing basis, management evaluates estimates, including those related to discount and sales incentive allowances, deferred income taxes and uncertain income tax positions, pensions, goodwill, other intangible and long-lived assets. Management bases these estimates on historical experience and on various other assumptions that are believed to be reasonable under the circumstances. Actual results may differ from these estimates under different assumptions or conditions. A description of critical accounting policies and related judgments and estimates that affect the preparation of our Condensed Consolidated Financial Statements is set forth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Certain statements in “Management’s Discussion and Analysis of Financial Condition and Results of Operations” and elsewhere in this Quarterly Report on Form 10-Q are forward-looking, including certain statements set forth under the headings “Liquidity and Capital Resources” and “Outlook.” Forward-looking statements reflect assumptions, expectations, projections, intentions or beliefs about future events. These statements, which may relate to such matters as earnings, net sales, margins, industry conditions, market demand, commodity prices, farm incomes, weather conditions, foreign currency translation impacts, general economic outlook, dividends, share repurchases, availability of financing, product development and enhancement, factory productivity, production and sales volumes, benefits from cost reduction initiatives, material costs, pricing impacts, tax rates, compliance with loan covenants, capital expenditures and working capital and debt service requirements are “forward-looking statements” within the meaning of the federal securities laws. These statements do not relate strictly to historical or current facts, and you can identify certain of these statements, but not necessarily all, by the use of the words “anticipate,” “assumed,” “indicate,” “estimate,” “believe,” “predict,” “forecast,” “rely,” “expect,” “continue,” “grow” and other words of similar meaning. Although we believe that the expectations and assumptions reflected in these statements are reasonable in view of the information currently available to us, there can be no assurance that these expectations will prove to be correct.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These forward-looking statements involve a number of risks and uncertainties, and actual results may differ materially from the results discussed in or implied by the forward-looking statements. Adverse changes in any of the following factors could cause actual results to differ materially from the forward-looking statements:</w:t>
      </w:r>
    </w:p>
    <w:p>
      <w:pPr>
        <w:pStyle w:val="TextBody"/>
        <w:bidi w:val="0"/>
        <w:spacing w:before="0" w:after="0"/>
        <w:jc w:val="left"/>
        <w:rPr/>
      </w:pPr>
      <w:r>
        <w:rPr/>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general economic and capital market conditions;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availability of credit to our retail customers;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the worldwide demand for agricultural products;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grain stock levels and the levels of new and used field inventories;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cost of steel and other raw materials;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energy costs;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performance and collectability of the accounts receivable originated or owned by AGCO or our finance joint ventures;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government policies, tariffs and subsidies;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uncertainty regarding changes in the international tariff regimes (including implementation of new tariffs and retaliatory measures) and product embargoes and their impact on the cost of the products that we sell;</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weather conditions;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interest and foreign currency exchange rates;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limitations on ability to repatriate funds;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inflation, including in individual countries that have been designated as highly inflationary;</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pricing and product actions taken by competitors;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commodity prices, acreage planted and crop yields;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farm income, land values, debt levels and access to credit;</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pervasive livestock diseases;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production disruptions, including due to component and raw material availability;</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production levels and capacity constraints at our facilities, including those resulting from plant expansions and systems upgrades;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integration of recent and future acquisitions, including the completed acquisition on April 1, 2024 of the Trimble ag assets and formation of the joint venture, PTx Trimble, and the ability to obtain the expected results;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expansion plans in emerging markets;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supply constraints, including energy shortages;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cost reduction and control initiatives;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research and development efforts;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dealer and distributor actions;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regulations affecting privacy and data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technological difficulties;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 xml:space="preserve">the impact of future pandemics on product demand and production; </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 xml:space="preserve">the occurrence of future cyberattacks, including ransomware attacks; and </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the conflict in Ukraine and the Middle East.</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 2025, the U.S. government implemented a series of tariffs on goods imported into the United States from various countries, and in many cases these measures resulted in reciprocal tariffs and other actions on goods exported from the United States. These tariffs and related actions are complex, continuously evolving and remain highly volatile as trade negotiations and legal challenges proceed. In February 2026, the U.S. Supreme Court ruled that the International Emergency Economic Powers Act (“IEEPA”), which the U.S. government had relied on to impose certain tariffs, does not authorize the administration to impose such tariffs. Following that decision, on March 4, 2026, the U.S. Court of International Trade (“CIT”) ordered U.S. Customs and Border Protection (“CBP”) to process refunds of tariffs imposed under IEEPA, and on March 27, 2026, the CIT issued an amended order expanding the scope of entries subject to reliquidation. On April 20, 2026, the Consolidated Administration and Processing of Entries system opened for the first phase of refund filings. We have submitted certain refund claims under this initial phase; however, these claims remain subject to CBP review, and we cannot predict the timing, amount or ultimate collectability of any refunds to which we may be entitled. The IEEPA tariffs refund process remains subject to CBP review, and the administration has appealed the CIT's refund order to the U.S. Court of Appeals for the Federal Circuit, contesting both the scope of the refund obligation and the reliquidation of finally liquidated entries for importers who have not filed individual lawsuits. It remains uncertain when, or to what extent, such refunds will ultimately be collected. Following the U.S. Supreme Court’s ruling, the administration has also imposed tariffs under alternative statutory authorities, the validity of which is also subject to legal challenge. As a result, the timing and extent of any refunds, the structure and scope of any new tariffs and the overall tariff framework remain uncertain and could create significant risks for our business. Depending on the countries affected, increases in tariffs have raised, and may continue to raise, the costs of inputs used in manufacturing our products, which in turn has impacted, and may further impact, our cost of goods sold. In addition, higher tariffs may lead to increased after</w:t>
        <w:noBreakHyphen/>
        <w:t>tariff sales prices for the products we sell. Additionally, the economic uncertainty caused by the tariffs may result in customers delaying planned purchases of products and services. While impacts of the tariffs may be partially mitigated by the fact that a majority of our sales and manufacturing takes place outside the United States, there can be no guarantee that we will be able to fully offset the impact of existing or future tariffs through pricing, sourcing changes or other measures. Furthermore, retaliatory tariffs imposed by other countries on our exported products could negatively affect our sales and marketplace access in those countries. The economic uncertainty caused by these tariffs and related trade policy developments, together with uncertainty regarding their enforceability, continuation or modification, has adversely impacted, and is expected to continue to adversely impact, our sales.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depend on suppliers for components, parts and raw materials for our products, and any failure by our suppliers to provide products as needed, or by us to promptly address supplier issues, will adversely impact our ability to timely and efficiently manufacture and sell products. We cannot predict or control the impact of the conflicts in Ukraine or the Middle East on our business. These conflicts have already driven increased volatility across global energy, logistics and input markets, leading to higher fuel, fertilizer, transportation and input costs, as well as general uncertainty for farmers. In addition, the potential of future natural gas shortages in Europe, as well as predicted overall shortages in other energy sources, could also negatively impact our production and that of our supply chain in the future. There can be no assurance that there will not be future disruptions.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have a substantial amount of indebtedness, and, as a result, we are subject to certain restrictive covenants and payment obligations that may adversely affect our ability to operate and expand our business.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Any forward-looking statement should be considered in light of such important factors. For additional factors and additional information regarding these factors, see “Risk Factors” in Item 1A of Part I of our Annual Report on Form 10-K for the year ended December 31,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New factors that could cause actual results to differ materially from those described above emerge from time to time, and it is not possible for us to predict all of such factors or the extent to which any such factor or combination of factors may cause actual results to differ from those contained in any forward-looking statement. Any forward-looking statement speaks only as of the date on which such statement is made, and we disclaim any obligation to update the information contained in such statement to reflect subsequent developments or information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Foreign Currency Risk Management</w:t>
      </w:r>
    </w:p>
    <w:p>
      <w:pPr>
        <w:pStyle w:val="TextBody"/>
        <w:bidi w:val="0"/>
        <w:spacing w:before="0" w:after="0"/>
        <w:ind w:left="0" w:right="0" w:hanging="144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For quantitative and qualitative disclosures about market risks, see “Quantitative and Qualitative Disclosures About Market Risks” in Item 7A of Part II of our Annual Report on Form 10-K for the year ended December 31, 2025. As of the second quarter of 2026, there have been no material changes in our exposure to market risks.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Our Chief Executive Officer and Chief Financial Officer, after evaluating the effectiveness of our disclosure controls and procedures (as defined in Rule 13a-15(e) under the Securities Exchange Act of 1934, as amended) as of June 30, 2026, have concluded that, as of such date, our disclosure controls and procedures were effective at the reasonable assurance level.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Company’s management, including the Chief Executive Officer and the Chief Financial Officer, does not expect that the Company’s disclosure controls or the Company’s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 cost effective control system, misstatements due to error or fraud may occur and not be detected. We will conduct periodic evaluations of our internal controls to enhance, where necessary, our procedures and controls.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There were no changes in our internal control over financial reporting identified in connection with the evaluation described above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hanging="144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We are a party to various other legal claims and actions incidental to our business. These items are more fully discussed in </w:t>
      </w:r>
      <w:hyperlink w:anchor="i968c8d8a8fc741548799e059ce631ce9_76">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color w:val="000000"/>
          <w:sz w:val="20"/>
        </w:rPr>
        <w:t>to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hanging="144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There have been no material changes to our risks and uncertainties disclosed under “Risk Factors” in Item 1A of Part 1 of our Annual Report on Form 10-K for the year ended December 31, 2025. The risks and uncertainties described in our risk factors have the potential to materially affect our business, results of operations, financial condition and cash flows. These risks are not exclusive and additional risks to which we are subject include the factors mentioned under “Forward-Looking Statements” and the risks described in “Management’s Discussion and Analysis of Financial Condition and Results of Operations”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table below sets forth information with respect to purchases of our common stock made by or on behalf of us during the three months ended June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9"/>
        <w:gridCol w:w="292"/>
        <w:gridCol w:w="295"/>
        <w:gridCol w:w="109"/>
        <w:gridCol w:w="109"/>
        <w:gridCol w:w="109"/>
        <w:gridCol w:w="707"/>
        <w:gridCol w:w="442"/>
        <w:gridCol w:w="444"/>
        <w:gridCol w:w="109"/>
        <w:gridCol w:w="109"/>
        <w:gridCol w:w="109"/>
        <w:gridCol w:w="263"/>
        <w:gridCol w:w="900"/>
        <w:gridCol w:w="136"/>
        <w:gridCol w:w="109"/>
        <w:gridCol w:w="109"/>
        <w:gridCol w:w="109"/>
        <w:gridCol w:w="921"/>
        <w:gridCol w:w="691"/>
        <w:gridCol w:w="692"/>
        <w:gridCol w:w="109"/>
        <w:gridCol w:w="109"/>
        <w:gridCol w:w="109"/>
        <w:gridCol w:w="588"/>
        <w:gridCol w:w="1719"/>
        <w:gridCol w:w="438"/>
      </w:tblGrid>
      <w:tr>
        <w:trPr/>
        <w:tc>
          <w:tcPr>
            <w:tcW w:w="36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Approximate Dollar Value of Shares that May Yet Be Purchased Under the Plans or Programs (in millions)</w:t>
            </w:r>
            <w:r>
              <w:rPr>
                <w:rFonts w:ascii="Times New Roman;serif" w:hAnsi="Times New Roman;serif"/>
                <w:b/>
                <w:color w:val="000000"/>
                <w:sz w:val="10"/>
              </w:rPr>
              <w:t>(2)</w:t>
            </w:r>
          </w:p>
        </w:tc>
      </w:tr>
      <w:tr>
        <w:trPr/>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April 1, 2026 through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May 1, 2026 through </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May 31, 2026</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2,420,203 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2,420,203 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w:t>
              <w:br/>
              <w: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2,420,203 </w:t>
            </w:r>
          </w:p>
        </w:tc>
        <w:tc>
          <w:tcPr>
            <w:tcW w:w="4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118.38 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2,420,203 </w:t>
            </w:r>
          </w:p>
        </w:tc>
        <w:tc>
          <w:tcPr>
            <w:tcW w:w="6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4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 xml:space="preserve">In May 2026, the Company entered into an accelerated share repurchase (“ASR”) agreement with a financial institution to repurchase an aggregate of $293.0 million of shares of its common stock. The ASR agreement resulted in the initial delivery of approximately 1,997,613 shares of our common stock, representing approximately 80% of the shares to be purchased in connection with the transaction. The average price paid per share related to the ASR agreement reflected in the table above was $117.34, derived using the fair market value of the shares on the date the initial 1,997,613 shares were delivered. The amount that may yet be purchased under our share repurchase programs, as presented in the above table, was reduced by the entire $293.0 million payment related to the ASR agreement. In conjunction with the Cooperation Agreement entered into with Tractors and Farm Equipment Limited (“TAFE”) in June 2025 (the “Cooperation Agreement”), TAFE agreed to participate on a pro rata basis in the Company’s share repurchase programs as authorized by the Company’s Board of Directors from time to time. In February 2026, pursuant to the Cooperation Agreement, the Company committed to repurchase a pro-rata amount of shares from TAFE related to the Company's share repurchase program executed in the fourth quarter of 2025. Settlement occurred in May 2026, resulting in the repurchase of 422,590 shares for approximately $52.1 million. The average price paid per share related to the TAFE repurchase activity reflected in the table above was $123.2763. Refer to </w:t>
      </w:r>
      <w:hyperlink w:anchor="i968c8d8a8fc741548799e059ce631ce9_61">
        <w:r>
          <w:rPr>
            <w:rStyle w:val="InternetLink"/>
          </w:rPr>
          <w:t>Note 1</w:t>
        </w:r>
      </w:hyperlink>
      <w:hyperlink w:anchor="i968c8d8a8fc741548799e059ce631ce9_61">
        <w:r>
          <w:rPr>
            <w:rStyle w:val="InternetLink"/>
          </w:rPr>
          <w:t>0</w:t>
        </w:r>
      </w:hyperlink>
      <w:r>
        <w:rPr>
          <w:color w:val="000000"/>
        </w:rPr>
        <w:t xml:space="preserve"> </w:t>
      </w:r>
      <w:r>
        <w:rPr>
          <w:rFonts w:ascii="Times New Roman;serif" w:hAnsi="Times New Roman;serif"/>
          <w:b w:val="false"/>
          <w:color w:val="000000"/>
          <w:sz w:val="16"/>
        </w:rPr>
        <w:t>of our Condensed Consolidated Financial Statements contained in Item 1, “Financial Statements” for further discussion of this matter.</w:t>
      </w:r>
    </w:p>
    <w:p>
      <w:pPr>
        <w:pStyle w:val="TextBody"/>
        <w:bidi w:val="0"/>
        <w:spacing w:lineRule="auto" w:line="288" w:before="40" w:after="283"/>
        <w:ind w:left="0" w:right="0" w:hanging="270"/>
        <w:jc w:val="left"/>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The remaining authorized amount to be repurchased is $439.9 million, which has no expiration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hanging="144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During the three months ended June 30, 2026, none of our directors or officers (as defined in Rule 16a-1(f) of the Securities Exchange Act of 1934, as amended) adopted or terminated a Rule 10b5-1 trading arrangement or non-Rule 10b5-1 trading arrangement (as such terms are defined in Item 408 of Regulation S-K of the Securities Act of 1933).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(Each management contract or compensation plan required to be filed as an exhibit is identified by an asterisk (*). The Company is not filing, under Item 4, instruments defining the rights of holders of long-term debt where the debt does not exceed 10% of the Company’s total assets. The Company agrees to furnish copies of those instruments to the Commission upon request.)</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407"/>
        <w:gridCol w:w="2171"/>
        <w:gridCol w:w="2178"/>
        <w:gridCol w:w="109"/>
        <w:gridCol w:w="109"/>
        <w:gridCol w:w="109"/>
        <w:gridCol w:w="610"/>
        <w:gridCol w:w="610"/>
        <w:gridCol w:w="86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filings referenced for</w:t>
              <w:br/>
              <w:t>incorporation by reference are</w:t>
              <w:br/>
              <w:t>AGCO Corporation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A</w:t>
              </w:r>
            </w:hyperlink>
            <w:hyperlink r:id="rId4">
              <w:r>
                <w:rPr>
                  <w:rStyle w:val="InternetLink"/>
                  <w:rFonts w:ascii="Times New Roman;serif" w:hAnsi="Times New Roman;serif"/>
                  <w:b w:val="false"/>
                  <w:color w:val="000080"/>
                  <w:sz w:val="20"/>
                  <w:u w:val="single"/>
                </w:rPr>
                <w:t>mended and Restated By-</w:t>
              </w:r>
            </w:hyperlink>
            <w:hyperlink r:id="rId5">
              <w:r>
                <w:rPr>
                  <w:rStyle w:val="InternetLink"/>
                  <w:rFonts w:ascii="Times New Roman;serif" w:hAnsi="Times New Roman;serif"/>
                  <w:b w:val="false"/>
                  <w:color w:val="000080"/>
                  <w:sz w:val="20"/>
                  <w:u w:val="single"/>
                </w:rPr>
                <w:t>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10, 2026, Form 8-K, Exhibit 3.1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gcoex221-q22026.htm">
              <w:r>
                <w:rPr>
                  <w:rStyle w:val="InternetLink"/>
                  <w:rFonts w:ascii="Times New Roman;serif" w:hAnsi="Times New Roman;serif"/>
                  <w:b w:val="false"/>
                  <w:color w:val="0000FF"/>
                  <w:sz w:val="20"/>
                  <w:u w:val="single"/>
                </w:rPr>
                <w:t>22.1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gcoex221-q22026.htm">
              <w:r>
                <w:rPr>
                  <w:rStyle w:val="InternetLink"/>
                  <w:rFonts w:ascii="Times New Roman;serif" w:hAnsi="Times New Roman;serif"/>
                  <w:b w:val="false"/>
                  <w:color w:val="0000FF"/>
                  <w:sz w:val="20"/>
                  <w:u w:val="single"/>
                </w:rPr>
                <w:t>List of Subsidiary Guarantors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gcoex311-q220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gcoex311-q22026.htm">
              <w:r>
                <w:rPr>
                  <w:rStyle w:val="InternetLink"/>
                  <w:rFonts w:ascii="Times New Roman;serif" w:hAnsi="Times New Roman;serif"/>
                  <w:b w:val="false"/>
                  <w:color w:val="0000FF"/>
                  <w:sz w:val="20"/>
                  <w:u w:val="single"/>
                </w:rPr>
                <w:t>Certification of Eric P. Hansotia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gcoex312-q220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gcoex312-q22026.htm">
              <w:r>
                <w:rPr>
                  <w:rStyle w:val="InternetLink"/>
                  <w:rFonts w:ascii="Times New Roman;serif" w:hAnsi="Times New Roman;serif"/>
                  <w:b w:val="false"/>
                  <w:color w:val="0000FF"/>
                  <w:sz w:val="20"/>
                  <w:u w:val="single"/>
                </w:rPr>
                <w:t>Certification of Damon Audia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gcoex321-q22026.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gcoex321-q22026.htm">
              <w:r>
                <w:rPr>
                  <w:rStyle w:val="InternetLink"/>
                  <w:rFonts w:ascii="Times New Roman;serif" w:hAnsi="Times New Roman;serif"/>
                  <w:b w:val="false"/>
                  <w:color w:val="0000FF"/>
                  <w:sz w:val="20"/>
                  <w:u w:val="single"/>
                </w:rPr>
                <w:t>Certification of Eric P. Hansotia and Damon Audia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unaudited financial information from this Quarterly Report on Form 10-Q for the quarter ended June 30, 2026, are formatted in Inline XBRL: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Condensed Consolidated Balance Sheets;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(ii) Condensed Consolidated Statements of Operations;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(iii) Condensed Consolidated Statements of Comprehensive Income;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(iv) Condensed Consolidated Statements of Cash Flows; and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 Notes to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from this Quarterly Report on Form 10-Q for the quarter ended June 30, 2026 is formatted in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68c8d8a8fc741548799e059ce631c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71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67"/>
        <w:gridCol w:w="267"/>
        <w:gridCol w:w="267"/>
        <w:gridCol w:w="1199"/>
        <w:gridCol w:w="1199"/>
        <w:gridCol w:w="17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AGCO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Damon Audia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Damon Audia</w:t>
              <w:br/>
              <w:t>Senior Vice President and Chief Financial Officer</w:t>
              <w:b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Indira Agarwal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Indira Agarwal</w:t>
              <w:br/>
              <w:t>Vice President, 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22.1</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List of Subsidiary Guarantors</w:t>
      </w:r>
    </w:p>
    <w:p>
      <w:pPr>
        <w:pStyle w:val="TextBody"/>
        <w:bidi w:val="0"/>
        <w:spacing w:before="0" w:after="0"/>
        <w:ind w:left="0" w:right="0" w:firstLine="72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As of June 30, 2026, the 5.450% Senior Notes due 2027 and the 5.800% Senior Notes due 2034 issued by AGCO Corporation are guaranteed by the following direct and indirect subsidiaries of AGCO Corporation:</w:t>
      </w:r>
    </w:p>
    <w:p>
      <w:pPr>
        <w:pStyle w:val="TextBody"/>
        <w:bidi w:val="0"/>
        <w:spacing w:before="0" w:after="0"/>
        <w:jc w:val="both"/>
        <w:rPr/>
      </w:pPr>
      <w:r>
        <w:rPr/>
      </w:r>
    </w:p>
    <w:tbl>
      <w:tblPr>
        <w:tblW w:w="8577" w:type="dxa"/>
        <w:jc w:val="left"/>
        <w:tblInd w:w="0" w:type="dxa"/>
        <w:tblLayout w:type="fixed"/>
        <w:tblCellMar>
          <w:top w:w="28" w:type="dxa"/>
          <w:left w:w="28" w:type="dxa"/>
          <w:bottom w:w="28" w:type="dxa"/>
          <w:right w:w="28" w:type="dxa"/>
        </w:tblCellMar>
      </w:tblPr>
      <w:tblGrid>
        <w:gridCol w:w="1070"/>
        <w:gridCol w:w="941"/>
        <w:gridCol w:w="944"/>
        <w:gridCol w:w="109"/>
        <w:gridCol w:w="109"/>
        <w:gridCol w:w="109"/>
        <w:gridCol w:w="1548"/>
        <w:gridCol w:w="1548"/>
        <w:gridCol w:w="2199"/>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r>
      <w:tr>
        <w:trPr/>
        <w:tc>
          <w:tcPr>
            <w:tcW w:w="2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AGCO International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Netherlands</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AGCO International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Massey Ferguson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Eric P. Hansotia, certify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AGCO Corporation;</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020" w:type="dxa"/>
        <w:jc w:val="center"/>
        <w:tblInd w:w="0" w:type="dxa"/>
        <w:tblLayout w:type="fixed"/>
        <w:tblCellMar>
          <w:top w:w="28" w:type="dxa"/>
          <w:left w:w="28" w:type="dxa"/>
          <w:bottom w:w="28" w:type="dxa"/>
          <w:right w:w="28" w:type="dxa"/>
        </w:tblCellMar>
      </w:tblPr>
      <w:tblGrid>
        <w:gridCol w:w="238"/>
        <w:gridCol w:w="210"/>
        <w:gridCol w:w="212"/>
        <w:gridCol w:w="404"/>
        <w:gridCol w:w="404"/>
        <w:gridCol w:w="407"/>
        <w:gridCol w:w="1507"/>
        <w:gridCol w:w="1507"/>
        <w:gridCol w:w="213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P. Hansotia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P. Hansotia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Damon Audia, certify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AGCO Corporation;</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14" w:type="dxa"/>
        <w:jc w:val="center"/>
        <w:tblInd w:w="0" w:type="dxa"/>
        <w:tblLayout w:type="fixed"/>
        <w:tblCellMar>
          <w:top w:w="28" w:type="dxa"/>
          <w:left w:w="28" w:type="dxa"/>
          <w:bottom w:w="28" w:type="dxa"/>
          <w:right w:w="28" w:type="dxa"/>
        </w:tblCellMar>
      </w:tblPr>
      <w:tblGrid>
        <w:gridCol w:w="238"/>
        <w:gridCol w:w="210"/>
        <w:gridCol w:w="212"/>
        <w:gridCol w:w="404"/>
        <w:gridCol w:w="404"/>
        <w:gridCol w:w="407"/>
        <w:gridCol w:w="1211"/>
        <w:gridCol w:w="1211"/>
        <w:gridCol w:w="171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Damon Audia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Damon Audia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rPr/>
      </w:pPr>
      <w:r>
        <w:rPr/>
      </w:r>
    </w:p>
    <w:p>
      <w:pPr>
        <w:pStyle w:val="TextBody"/>
        <w:bidi w:val="0"/>
        <w:spacing w:lineRule="auto" w:line="288" w:before="0" w:after="0"/>
        <w:ind w:left="0" w:right="0" w:firstLine="315"/>
        <w:jc w:val="left"/>
        <w:rPr>
          <w:color w:val="000000"/>
        </w:rPr>
      </w:pPr>
      <w:r>
        <w:rPr>
          <w:color w:val="000000"/>
        </w:rPr>
        <w:t>    </w:t>
      </w:r>
      <w:r>
        <w:rPr>
          <w:rFonts w:ascii="Times New Roman;serif" w:hAnsi="Times New Roman;serif"/>
          <w:b w:val="false"/>
          <w:color w:val="000000"/>
          <w:sz w:val="20"/>
        </w:rPr>
        <w:t>The undersigned, as the Chairman of the Board, President and Chief Executive Officer and as the Senior Vice President and Chief Financial Officer of AGCO Corporation, respectively, certify that, to the best of their knowledge and belief, the Quarterly Report on Form 10-Q for the period ended June 30, 2026, which accompanies this certification fully complies with the requirements of Section 13(a) of the Securities Exchange Act of 1934 and the information contained in the periodic report fairly presents, in all material respects, the financial condition and results of operations of AGCO Corporation at the dates and for the periods indicated. The foregoing certifications are made pursuant to 906 of the Sarbanes-Oxley Act of 2002 (18 U.S.C. 1350) and shall not be relied upon for any other purpose.</w:t>
      </w:r>
    </w:p>
    <w:p>
      <w:pPr>
        <w:pStyle w:val="TextBody"/>
        <w:bidi w:val="0"/>
        <w:spacing w:before="0" w:after="0"/>
        <w:ind w:left="0" w:right="0" w:firstLine="315"/>
        <w:jc w:val="left"/>
        <w:rPr/>
      </w:pPr>
      <w:r>
        <w:rPr/>
      </w:r>
    </w:p>
    <w:p>
      <w:pPr>
        <w:pStyle w:val="TextBody"/>
        <w:bidi w:val="0"/>
        <w:spacing w:before="0" w:after="0"/>
        <w:ind w:left="0" w:right="0" w:firstLine="315"/>
        <w:jc w:val="left"/>
        <w:rPr/>
      </w:pPr>
      <w:r>
        <w:rPr/>
      </w:r>
    </w:p>
    <w:tbl>
      <w:tblPr>
        <w:tblW w:w="5814" w:type="dxa"/>
        <w:jc w:val="left"/>
        <w:tblInd w:w="0" w:type="dxa"/>
        <w:tblLayout w:type="fixed"/>
        <w:tblCellMar>
          <w:top w:w="28" w:type="dxa"/>
          <w:left w:w="28" w:type="dxa"/>
          <w:bottom w:w="28" w:type="dxa"/>
          <w:right w:w="28" w:type="dxa"/>
        </w:tblCellMar>
      </w:tblPr>
      <w:tblGrid>
        <w:gridCol w:w="124"/>
        <w:gridCol w:w="109"/>
        <w:gridCol w:w="109"/>
        <w:gridCol w:w="1698"/>
        <w:gridCol w:w="1698"/>
        <w:gridCol w:w="170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P. Hansotia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P. Hansotia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Damon Audia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Damon Audia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p>
      <w:pPr>
        <w:pStyle w:val="TextBody"/>
        <w:bidi w:val="0"/>
        <w:spacing w:before="0" w:after="0"/>
        <w:jc w:val="left"/>
        <w:rPr/>
      </w:pPr>
      <w:r>
        <w:rPr/>
      </w:r>
    </w:p>
    <w:p>
      <w:pPr>
        <w:pStyle w:val="TextBody"/>
        <w:bidi w:val="0"/>
        <w:spacing w:lineRule="auto" w:line="288"/>
        <w:ind w:left="0" w:right="0" w:firstLine="315"/>
        <w:jc w:val="left"/>
        <w:rPr>
          <w:color w:val="000000"/>
        </w:rPr>
      </w:pPr>
      <w:r>
        <w:rPr>
          <w:color w:val="000000"/>
        </w:rPr>
        <w:t>    </w:t>
      </w: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AGCO Corporation and will be retained by AGCO Corporation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0266/000088026626000064/agco-ex31xamendedandrestat.htm" TargetMode="External"/><Relationship Id="rId3" Type="http://schemas.openxmlformats.org/officeDocument/2006/relationships/hyperlink" Target="https://www.sec.gov/Archives/edgar/data/880266/000088026626000064/agco-ex31xamendedandrestat.htm" TargetMode="External"/><Relationship Id="rId4" Type="http://schemas.openxmlformats.org/officeDocument/2006/relationships/hyperlink" Target="https://www.sec.gov/Archives/edgar/data/880266/000088026626000064/agco-ex31xamendedandrestat.htm" TargetMode="External"/><Relationship Id="rId5" Type="http://schemas.openxmlformats.org/officeDocument/2006/relationships/hyperlink" Target="https://www.sec.gov/Archives/edgar/data/880266/000088026626000064/agco-ex31xamendedandrestat.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22902</Words>
  <Characters>128248</Characters>
  <CharactersWithSpaces>150190</CharactersWithSpaces>
  <Paragraphs>3825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