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42"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Tractors &amp; Farm Equipment Ltd</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AGCO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AGCO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2"/>
                <w:szCs w:val="12"/>
                <w:color w:val="auto"/>
              </w:rPr>
            </w:pPr>
          </w:p>
        </w:tc>
        <w:tc>
          <w:tcPr>
            <w:tcW w:w="90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10"/>
            <w:vMerge w:val="continue"/>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OLD NO. 35, NEW NO. 77</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NUNGAMBAKKAM HIGH ROAD, POTTIPATTI</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PLAZA</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100" w:type="dxa"/>
            <w:vAlign w:val="bottom"/>
            <w:tcBorders>
              <w:bottom w:val="single" w:sz="8" w:color="2C2C2C"/>
            </w:tcBorders>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3"/>
          </w:tcPr>
          <w:p>
            <w:pPr>
              <w:ind w:left="80"/>
              <w:spacing w:after="0" w:line="113"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CHENNAI</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K7</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600 034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5"/>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(D) (Instr. 3, 4 and 5)</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80"/>
              <w:spacing w:after="0"/>
              <w:rPr>
                <w:sz w:val="20"/>
                <w:szCs w:val="20"/>
                <w:color w:val="auto"/>
              </w:rPr>
            </w:pPr>
            <w:r>
              <w:rPr>
                <w:rFonts w:ascii="Arial" w:cs="Arial" w:eastAsia="Arial" w:hAnsi="Arial"/>
                <w:sz w:val="12"/>
                <w:szCs w:val="12"/>
                <w:b w:val="1"/>
                <w:bCs w:val="1"/>
                <w:color w:val="auto"/>
              </w:rPr>
              <w:t>V</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40" w:type="dxa"/>
            <w:vAlign w:val="bottom"/>
            <w:vMerge w:val="continue"/>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Tractors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05/05/2026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309,089</w:t>
            </w:r>
            <w:r>
              <w:rPr>
                <w:rFonts w:ascii="Times New Roman" w:cs="Times New Roman" w:eastAsia="Times New Roman" w:hAnsi="Times New Roman"/>
                <w:sz w:val="22"/>
                <w:szCs w:val="22"/>
                <w:color w:val="008000"/>
                <w:vertAlign w:val="superscript"/>
              </w:rPr>
              <w:t>(2)</w:t>
            </w:r>
          </w:p>
        </w:tc>
        <w:tc>
          <w:tcPr>
            <w:tcW w:w="3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(2)</w:t>
            </w:r>
          </w:p>
        </w:tc>
        <w:tc>
          <w:tcPr>
            <w:tcW w:w="1120" w:type="dxa"/>
            <w:vAlign w:val="bottom"/>
            <w:gridSpan w:val="5"/>
          </w:tcPr>
          <w:p>
            <w:pPr>
              <w:ind w:left="1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123.2763</w:t>
            </w:r>
            <w:r>
              <w:rPr>
                <w:rFonts w:ascii="Times New Roman" w:cs="Times New Roman" w:eastAsia="Times New Roman" w:hAnsi="Times New Roman"/>
                <w:sz w:val="22"/>
                <w:szCs w:val="22"/>
                <w:color w:val="008000"/>
                <w:vertAlign w:val="superscript"/>
              </w:rPr>
              <w:t>(2)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8,577,742</w:t>
            </w:r>
          </w:p>
        </w:tc>
        <w:tc>
          <w:tcPr>
            <w:tcW w:w="260" w:type="dxa"/>
            <w:vAlign w:val="bottom"/>
          </w:tcPr>
          <w:p>
            <w:pPr>
              <w:spacing w:after="0"/>
              <w:rPr>
                <w:sz w:val="18"/>
                <w:szCs w:val="18"/>
                <w:color w:val="auto"/>
              </w:rPr>
            </w:pPr>
          </w:p>
        </w:tc>
        <w:tc>
          <w:tcPr>
            <w:tcW w:w="58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and Farm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Equipment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TAFE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Motors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05/05/2026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113,501</w:t>
            </w:r>
            <w:r>
              <w:rPr>
                <w:rFonts w:ascii="Times New Roman" w:cs="Times New Roman" w:eastAsia="Times New Roman" w:hAnsi="Times New Roman"/>
                <w:sz w:val="22"/>
                <w:szCs w:val="22"/>
                <w:color w:val="008000"/>
                <w:vertAlign w:val="superscript"/>
              </w:rPr>
              <w:t>(2)</w:t>
            </w:r>
          </w:p>
        </w:tc>
        <w:tc>
          <w:tcPr>
            <w:tcW w:w="3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(2)</w:t>
            </w:r>
          </w:p>
        </w:tc>
        <w:tc>
          <w:tcPr>
            <w:tcW w:w="1120" w:type="dxa"/>
            <w:vAlign w:val="bottom"/>
            <w:gridSpan w:val="5"/>
          </w:tcPr>
          <w:p>
            <w:pPr>
              <w:ind w:left="1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123.2763</w:t>
            </w:r>
            <w:r>
              <w:rPr>
                <w:rFonts w:ascii="Times New Roman" w:cs="Times New Roman" w:eastAsia="Times New Roman" w:hAnsi="Times New Roman"/>
                <w:sz w:val="22"/>
                <w:szCs w:val="22"/>
                <w:color w:val="008000"/>
                <w:vertAlign w:val="superscript"/>
              </w:rPr>
              <w:t>(2)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3,149,820</w:t>
            </w:r>
          </w:p>
        </w:tc>
        <w:tc>
          <w:tcPr>
            <w:tcW w:w="260" w:type="dxa"/>
            <w:vAlign w:val="bottom"/>
          </w:tcPr>
          <w:p>
            <w:pPr>
              <w:spacing w:after="0"/>
              <w:rPr>
                <w:sz w:val="18"/>
                <w:szCs w:val="18"/>
                <w:color w:val="auto"/>
              </w:rPr>
            </w:pPr>
          </w:p>
        </w:tc>
        <w:tc>
          <w:tcPr>
            <w:tcW w:w="58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and</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Tractors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8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23,713</w:t>
            </w:r>
          </w:p>
        </w:tc>
        <w:tc>
          <w:tcPr>
            <w:tcW w:w="2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254"/>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(5)</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22"/>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40" w:type="dxa"/>
            <w:vAlign w:val="bottom"/>
            <w:gridSpan w:val="18"/>
          </w:tcPr>
          <w:p>
            <w:pPr>
              <w:jc w:val="center"/>
              <w:ind w:left="1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5"/>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Tractors &amp; Farm Equipment Ltd</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8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OLD NO. 35, NEW NO. 77</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NUNGAMBAKKAM HIGH ROAD, POTTIPATTI</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PLAZA</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CHENNAI</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K7</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600 034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-3669030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33655" cy="2241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2241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42"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TAFE Motors &amp; Tractors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676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3676650"/>
                    </a:xfrm>
                    <a:prstGeom prst="rect">
                      <a:avLst/>
                    </a:prstGeom>
                    <a:noFill/>
                  </pic:spPr>
                </pic:pic>
              </a:graphicData>
            </a:graphic>
          </wp:anchor>
        </w:drawing>
      </w:r>
    </w:p>
    <w:p>
      <w:pPr>
        <w:spacing w:after="0" w:line="314"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OLD NO. 35, NEW NO. 77</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NUNGAMBAKKAM HIGH ROAD, POTTIPATTI</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PLAZA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CHENNAI</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K7</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600 034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SRINIVASAN MALLIKA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OLD NO. 35, NEW NO. 77</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NUNGAMBAKKAM HIGH ROAD, POTTIPATTI</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PLAZA</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CHENNAI</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K7</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600 034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Tractors and Farm Equipment Limited ("TAFE"), TAFE Motors and Tractors Limited ("TMTL") and Ms. Mallika Srinivasan (collectively, the "Reporting Persons"). Each of the Reporting Persons is a member of a group for purposes of Section 13(d) of the Securities Exchange Act of 1934 (the "Exchange Act") that collectively beneficially owns over 10% of the Issuer's outstanding shares of Common Stock (the "Common Stock"). Each of the Reporting Persons disclaims beneficial ownership of the securities reported herein except to the extent of its or her pecuniary interest therein, and this report shall not be deemed an admission that the Reporting Persons are the beneficial owners of such shares for purposes of Section 16 or for any other purpose.</w:t>
      </w:r>
    </w:p>
    <w:p>
      <w:pPr>
        <w:spacing w:after="0" w:line="24"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were undertaken pursuant to Section 6 of that certain Cooperation Agreement by and between TAFE and the Issuer, dated June 30, 2025 (the "Cooperation Agreement"). Pursuant to the Cooperation Agreement, the price per share is equal to daily volume weighted average trading prices of the Common Stock as reported on the New York Stock Exchange as determined in accordance with Rule 10b-18 of the Exchange Act for each day during the sixty (60) consecutive trading day period ending on May 4, 2026. The sales reported herein are expected to close on the fifth (5th) business day following May 5, 2026.</w:t>
      </w:r>
    </w:p>
    <w:p>
      <w:pPr>
        <w:spacing w:after="0" w:line="24"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TAFE. Ms. Srinivasan is an officer of TAFE and is a beneficial owner of certain equity securities of TAFE, and may be deemed to beneficially own the securities owned by TAFE.</w:t>
      </w:r>
    </w:p>
    <w:p>
      <w:pPr>
        <w:spacing w:after="0" w:line="7"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TMTL, a wholly owned subsidiary of TAFE. As the direct parent company of TMTL, TAFE may be deemed to beneficially own the securities owned by TMTL. Ms. Srinivasan is an officer of TMTL and TAFE and is a beneficial owner of certain equity securities of TMTL and TAFE, and may be deemed to beneficially own the securities owned by TMTL.</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Ms. Srinivasan.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Exhibit 24 - Power of Attorney</w:t>
      </w:r>
    </w:p>
    <w:p>
      <w:pPr>
        <w:sectPr>
          <w:pgSz w:w="11900" w:h="16838" w:orient="portrait"/>
          <w:cols w:equalWidth="0" w:num="1">
            <w:col w:w="10880"/>
          </w:cols>
          <w:pgMar w:left="480" w:top="111" w:right="53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Tractors and Farm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Limited, By: /s/ Andrew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Freedman,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3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TAFE Motors and 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Limited, By: /s/ Andrew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Freedman,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3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Mallika Srinivasan,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Andrew M. Freedman,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20"/>
            <w:col w:w="2120"/>
          </w:cols>
          <w:pgMar w:left="480" w:top="111"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480" w:top="111" w:right="5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40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each of the undersigned parties hereby constitutes and appoints Andrew M. Freedman such party’s true and lawful attorney-in-fact to:</w:t>
      </w:r>
    </w:p>
    <w:p>
      <w:pPr>
        <w:spacing w:after="0" w:line="164" w:lineRule="exact"/>
        <w:rPr>
          <w:sz w:val="20"/>
          <w:szCs w:val="20"/>
          <w:color w:val="auto"/>
        </w:rPr>
      </w:pPr>
    </w:p>
    <w:p>
      <w:pPr>
        <w:jc w:val="both"/>
        <w:ind w:firstLine="646"/>
        <w:spacing w:after="0" w:line="256" w:lineRule="auto"/>
        <w:tabs>
          <w:tab w:leader="none" w:pos="12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such party, all documents relating to the reporting of beneficial ownership of securities of AGCO Corporation required to be filed with the United States Securities and Exchange Commission (the “SEC”) pursuant to Section 13(d) or Section 16(a) of the Securities Exchange Act of 1934 and the rules thereunder (the “Exchange Act”), including, without limitation, Schedule 13D and Form 3, Form 4 and Form 5 and successive forms thereto;</w:t>
      </w:r>
    </w:p>
    <w:p>
      <w:pPr>
        <w:spacing w:after="0" w:line="182" w:lineRule="exact"/>
        <w:rPr>
          <w:rFonts w:ascii="Times New Roman" w:cs="Times New Roman" w:eastAsia="Times New Roman" w:hAnsi="Times New Roman"/>
          <w:sz w:val="18"/>
          <w:szCs w:val="18"/>
          <w:color w:val="auto"/>
        </w:rPr>
      </w:pPr>
    </w:p>
    <w:p>
      <w:pPr>
        <w:jc w:val="both"/>
        <w:ind w:firstLine="646"/>
        <w:spacing w:after="0" w:line="261" w:lineRule="auto"/>
        <w:tabs>
          <w:tab w:leader="none" w:pos="12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such party that may be necessary or desirable to complete and execute any such documents, complete and execute any amendment or amendments thereto, and timely file such documents with the SEC and any stock exchange, automated quotation system or similar authority; and</w:t>
      </w:r>
    </w:p>
    <w:p>
      <w:pPr>
        <w:spacing w:after="0" w:line="177" w:lineRule="exact"/>
        <w:rPr>
          <w:rFonts w:ascii="Times New Roman" w:cs="Times New Roman" w:eastAsia="Times New Roman" w:hAnsi="Times New Roman"/>
          <w:sz w:val="18"/>
          <w:szCs w:val="18"/>
          <w:color w:val="auto"/>
        </w:rPr>
      </w:pPr>
    </w:p>
    <w:p>
      <w:pPr>
        <w:jc w:val="both"/>
        <w:ind w:firstLine="646"/>
        <w:spacing w:after="0" w:line="256" w:lineRule="auto"/>
        <w:tabs>
          <w:tab w:leader="none" w:pos="12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furtherance of the foregoing which, in the opinion of such attorney-in-fact, may be of benefit to, in the best interest of, or legally required by, such party, it being understood that the documents executed by such attorney-in-fact on behalf of such party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53" w:lineRule="auto"/>
        <w:rPr>
          <w:sz w:val="20"/>
          <w:szCs w:val="20"/>
          <w:color w:val="auto"/>
        </w:rPr>
      </w:pPr>
      <w:r>
        <w:rPr>
          <w:rFonts w:ascii="Times New Roman" w:cs="Times New Roman" w:eastAsia="Times New Roman" w:hAnsi="Times New Roman"/>
          <w:sz w:val="18"/>
          <w:szCs w:val="18"/>
          <w:color w:val="auto"/>
        </w:rPr>
        <w:t>Such party hereby grants to each such attorney-in-fact full power and authority to do and perform any and every act and thing whatsoever requisite, necessary, or proper to be done in the exercise of any of the rights and powers herein granted, as fully to all intents and purposes as such party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Each of the undersigned acknowledges that the foregoing attorney-in-fact, in serving in such capacity at the request of such undersigned, is not assuming, nor is AGCO Corporation assuming, any responsibilities of any of the undersigned to comply with the Exchange Act.</w:t>
      </w:r>
    </w:p>
    <w:p>
      <w:pPr>
        <w:spacing w:after="0" w:line="183"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such party is no longer required to file such documents with respect to such party’s holdings of and transactions in securities issued by AGCO Corporation, unless earlier revoked by such party in a signed writing delivered to the foregoing attorney-in-fact.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each of undersigned has caused this Power of Attorney to be executed as of this 24th day of July 2024.</w:t>
      </w: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TRACTORS AND FARM EQUIPMENT LIMITED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4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 Chandramohan</w:t>
            </w:r>
          </w:p>
        </w:tc>
        <w:tc>
          <w:tcPr>
            <w:tcW w:w="100" w:type="dxa"/>
            <w:vAlign w:val="bottom"/>
          </w:tcPr>
          <w:p>
            <w:pPr>
              <w:spacing w:after="0"/>
              <w:rPr>
                <w:sz w:val="20"/>
                <w:szCs w:val="20"/>
                <w:color w:val="auto"/>
              </w:rPr>
            </w:pPr>
          </w:p>
        </w:tc>
      </w:tr>
      <w:tr>
        <w:trPr>
          <w:trHeight w:val="188"/>
        </w:trPr>
        <w:tc>
          <w:tcPr>
            <w:tcW w:w="6240" w:type="dxa"/>
            <w:vAlign w:val="bottom"/>
          </w:tcPr>
          <w:p>
            <w:pPr>
              <w:spacing w:after="0"/>
              <w:rPr>
                <w:sz w:val="16"/>
                <w:szCs w:val="16"/>
                <w:color w:val="auto"/>
              </w:rPr>
            </w:pPr>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S Chandramohan</w:t>
            </w:r>
          </w:p>
        </w:tc>
        <w:tc>
          <w:tcPr>
            <w:tcW w:w="100" w:type="dxa"/>
            <w:vAlign w:val="bottom"/>
          </w:tcPr>
          <w:p>
            <w:pPr>
              <w:spacing w:after="0"/>
              <w:rPr>
                <w:sz w:val="16"/>
                <w:szCs w:val="16"/>
                <w:color w:val="auto"/>
              </w:rPr>
            </w:pPr>
          </w:p>
        </w:tc>
      </w:tr>
      <w:tr>
        <w:trPr>
          <w:trHeight w:val="232"/>
        </w:trPr>
        <w:tc>
          <w:tcPr>
            <w:tcW w:w="62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100" w:type="dxa"/>
            <w:vAlign w:val="bottom"/>
          </w:tcPr>
          <w:p>
            <w:pPr>
              <w:spacing w:after="0"/>
              <w:rPr>
                <w:sz w:val="20"/>
                <w:szCs w:val="20"/>
                <w:color w:val="auto"/>
              </w:rPr>
            </w:pPr>
          </w:p>
        </w:tc>
      </w:tr>
      <w:tr>
        <w:trPr>
          <w:trHeight w:val="559"/>
        </w:trPr>
        <w:tc>
          <w:tcPr>
            <w:tcW w:w="6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21" w:right="459" w:bottom="1440" w:gutter="0" w:footer="0" w:header="0"/>
        </w:sectPr>
      </w:pPr>
    </w:p>
    <w:bookmarkStart w:id="3" w:name="page4"/>
    <w:bookmarkEnd w:id="3"/>
    <w:p>
      <w:pPr>
        <w:ind w:left="4620"/>
        <w:spacing w:after="0"/>
        <w:rPr>
          <w:sz w:val="20"/>
          <w:szCs w:val="20"/>
          <w:color w:val="auto"/>
        </w:rPr>
      </w:pPr>
      <w:r>
        <w:rPr>
          <w:rFonts w:ascii="Times New Roman" w:cs="Times New Roman" w:eastAsia="Times New Roman" w:hAnsi="Times New Roman"/>
          <w:sz w:val="18"/>
          <w:szCs w:val="18"/>
          <w:color w:val="auto"/>
        </w:rPr>
        <w:t>TAFE MOTORS AND TRACTORS</w:t>
      </w:r>
    </w:p>
    <w:p>
      <w:pPr>
        <w:spacing w:after="0" w:line="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LIMITED</w:t>
      </w:r>
    </w:p>
    <w:p>
      <w:pPr>
        <w:spacing w:after="0" w:line="200" w:lineRule="exact"/>
        <w:rPr>
          <w:sz w:val="20"/>
          <w:szCs w:val="20"/>
          <w:color w:val="auto"/>
        </w:rPr>
      </w:pPr>
    </w:p>
    <w:p>
      <w:pPr>
        <w:spacing w:after="0" w:line="214" w:lineRule="exact"/>
        <w:rPr>
          <w:sz w:val="20"/>
          <w:szCs w:val="20"/>
          <w:color w:val="auto"/>
        </w:rPr>
      </w:pPr>
    </w:p>
    <w:tbl>
      <w:tblPr>
        <w:tblLayout w:type="fixed"/>
        <w:tblInd w:w="462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 Chandramohan</w:t>
            </w:r>
          </w:p>
        </w:tc>
      </w:tr>
      <w:tr>
        <w:trPr>
          <w:trHeight w:val="188"/>
        </w:trPr>
        <w:tc>
          <w:tcPr>
            <w:tcW w:w="640" w:type="dxa"/>
            <w:vAlign w:val="bottom"/>
          </w:tcPr>
          <w:p>
            <w:pPr>
              <w:spacing w:after="0"/>
              <w:rPr>
                <w:sz w:val="16"/>
                <w:szCs w:val="16"/>
                <w:color w:val="auto"/>
              </w:rPr>
            </w:pPr>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S Chandramohan</w:t>
            </w:r>
          </w:p>
        </w:tc>
      </w:tr>
      <w:tr>
        <w:trPr>
          <w:trHeight w:val="232"/>
        </w:trPr>
        <w:tc>
          <w:tcPr>
            <w:tcW w:w="6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Mallika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15875</wp:posOffset>
            </wp:positionV>
            <wp:extent cx="3359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Mallika Srinivasan</w:t>
      </w:r>
    </w:p>
    <w:sectPr>
      <w:pgSz w:w="11900" w:h="16838" w:orient="portrait"/>
      <w:cols w:equalWidth="0" w:num="1">
        <w:col w:w="9900"/>
      </w:cols>
      <w:pgMar w:left="1440" w:top="78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3" Type="http://schemas.openxmlformats.org/officeDocument/2006/relationships/hyperlink" Target="http://www.sec.gov/cgi-bin/browse-edgar?action=getcompany&amp;CIK=0001621553" TargetMode="External"/><Relationship Id="rId14" Type="http://schemas.openxmlformats.org/officeDocument/2006/relationships/hyperlink" Target="http://www.sec.gov/cgi-bin/browse-edgar?action=getcompany&amp;CIK=0000880266" TargetMode="External"/><Relationship Id="rId17" Type="http://schemas.openxmlformats.org/officeDocument/2006/relationships/hyperlink" Target="http://www.sec.gov/cgi-bin/browse-edgar?action=getcompany&amp;CIK=0001621526" TargetMode="External"/><Relationship Id="rId19" Type="http://schemas.openxmlformats.org/officeDocument/2006/relationships/hyperlink" Target="http://www.sec.gov/cgi-bin/browse-edgar?action=getcompany&amp;CIK=000152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2026-05-07T19:21:13Z</dcterms:created>
  <dcterms:modified xsi:type="dcterms:W3CDTF">2026-05-07T19:21:13Z</dcterms:modified>
</cp:coreProperties>
</file>