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-155575</wp:posOffset>
            </wp:positionV>
            <wp:extent cx="99060" cy="990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" cy="9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9060" cy="99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" cy="9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-506095</wp:posOffset>
            </wp:positionV>
            <wp:extent cx="51435" cy="519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3620135</wp:posOffset>
            </wp:positionH>
            <wp:positionV relativeFrom="paragraph">
              <wp:posOffset>-506095</wp:posOffset>
            </wp:positionV>
            <wp:extent cx="51435" cy="519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467360</wp:posOffset>
            </wp:positionV>
            <wp:extent cx="7019290" cy="3067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Golodryga Zhanna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AGCO CORP /DE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AGCO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 BOX 10247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-1" w:right="1080" w:firstLine="1"/>
        <w:spacing w:after="0" w:line="28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51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61"/>
            <w:col w:w="3259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BIRMINGHAM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35202-0247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1,673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6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3,830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These shares reflect an award granted under the AGCO Corporation 2006 Long-Term Incentive Plan.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Kinsha O. Swain Attorney-in-Fact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1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0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418465</wp:posOffset>
            </wp:positionV>
            <wp:extent cx="6944360" cy="91109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2792" TargetMode="External"/><Relationship Id="rId14" Type="http://schemas.openxmlformats.org/officeDocument/2006/relationships/hyperlink" Target="http://www.sec.gov/cgi-bin/browse-edgar?action=getcompany&amp;CIK=00008802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2026-04-27T16:14:22Z</dcterms:created>
  <dcterms:modified xsi:type="dcterms:W3CDTF">2026-04-27T16:14:22Z</dcterms:modified>
</cp:coreProperties>
</file>