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224155</wp:posOffset>
            </wp:positionH>
            <wp:positionV relativeFrom="page">
              <wp:posOffset>723900</wp:posOffset>
            </wp:positionV>
            <wp:extent cx="70999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9935" cy="8255"/>
                    </a:xfrm>
                    <a:prstGeom prst="rect">
                      <a:avLst/>
                    </a:prstGeom>
                    <a:noFill/>
                  </pic:spPr>
                </pic:pic>
              </a:graphicData>
            </a:graphic>
          </wp:anchor>
        </w:drawing>
        <w:drawing>
          <wp:anchor simplePos="0" relativeHeight="251657728" behindDoc="1" locked="0" layoutInCell="0" allowOverlap="1">
            <wp:simplePos x="0" y="0"/>
            <wp:positionH relativeFrom="page">
              <wp:posOffset>224155</wp:posOffset>
            </wp:positionH>
            <wp:positionV relativeFrom="page">
              <wp:posOffset>681355</wp:posOffset>
            </wp:positionV>
            <wp:extent cx="70999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9935" cy="1714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FORM 10-Q</w:t>
      </w:r>
    </w:p>
    <w:p>
      <w:pPr>
        <w:spacing w:after="0" w:line="374" w:lineRule="exact"/>
        <w:rPr>
          <w:sz w:val="24"/>
          <w:szCs w:val="24"/>
          <w:color w:val="auto"/>
        </w:rPr>
      </w:pPr>
    </w:p>
    <w:p>
      <w:pPr>
        <w:ind w:left="1260" w:hanging="307"/>
        <w:spacing w:after="0"/>
        <w:tabs>
          <w:tab w:leader="none" w:pos="126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58" w:lineRule="exact"/>
        <w:rPr>
          <w:sz w:val="24"/>
          <w:szCs w:val="24"/>
          <w:color w:val="auto"/>
        </w:rPr>
      </w:pPr>
    </w:p>
    <w:p>
      <w:pPr>
        <w:ind w:left="1240" w:hanging="287"/>
        <w:spacing w:after="0"/>
        <w:tabs>
          <w:tab w:leader="none" w:pos="124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45" w:lineRule="exact"/>
        <w:rPr>
          <w:rFonts w:ascii="MS PGothic" w:cs="MS PGothic" w:eastAsia="MS PGothic" w:hAnsi="MS PGothic"/>
          <w:sz w:val="21"/>
          <w:szCs w:val="21"/>
          <w:color w:val="auto"/>
        </w:rPr>
      </w:pPr>
    </w:p>
    <w:p>
      <w:pPr>
        <w:ind w:left="3680"/>
        <w:spacing w:after="0"/>
        <w:rPr>
          <w:rFonts w:ascii="MS PGothic" w:cs="MS PGothic" w:eastAsia="MS PGothic" w:hAnsi="MS PGothic"/>
          <w:sz w:val="21"/>
          <w:szCs w:val="21"/>
          <w:color w:val="auto"/>
        </w:rPr>
      </w:pPr>
      <w:r>
        <w:rPr>
          <w:rFonts w:ascii="Times New Roman" w:cs="Times New Roman" w:eastAsia="Times New Roman" w:hAnsi="Times New Roman"/>
          <w:sz w:val="18"/>
          <w:szCs w:val="18"/>
          <w:b w:val="1"/>
          <w:bCs w:val="1"/>
          <w:color w:val="auto"/>
        </w:rPr>
        <w:t>For the transition period from _________ to _________</w:t>
      </w:r>
    </w:p>
    <w:p>
      <w:pPr>
        <w:spacing w:after="0" w:line="3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001-12930</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AGCO CORPORATION</w:t>
      </w:r>
    </w:p>
    <w:p>
      <w:pPr>
        <w:spacing w:after="0" w:line="1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31" w:lineRule="exact"/>
        <w:rPr>
          <w:sz w:val="24"/>
          <w:szCs w:val="24"/>
          <w:color w:val="auto"/>
        </w:rPr>
      </w:pPr>
    </w:p>
    <w:tbl>
      <w:tblPr>
        <w:tblLayout w:type="fixed"/>
        <w:tblInd w:w="120" w:type="dxa"/>
        <w:tblCellMar>
          <w:top w:w="0" w:type="dxa"/>
          <w:left w:w="0" w:type="dxa"/>
          <w:bottom w:w="0" w:type="dxa"/>
          <w:right w:w="0" w:type="dxa"/>
        </w:tblCellMar>
      </w:tblPr>
      <w:tr>
        <w:trPr>
          <w:trHeight w:val="229"/>
        </w:trPr>
        <w:tc>
          <w:tcPr>
            <w:tcW w:w="2300" w:type="dxa"/>
            <w:vAlign w:val="bottom"/>
          </w:tcPr>
          <w:p>
            <w:pPr>
              <w:spacing w:after="0"/>
              <w:rPr>
                <w:sz w:val="19"/>
                <w:szCs w:val="19"/>
                <w:color w:val="auto"/>
              </w:rPr>
            </w:pPr>
          </w:p>
        </w:tc>
        <w:tc>
          <w:tcPr>
            <w:tcW w:w="4220" w:type="dxa"/>
            <w:vAlign w:val="bottom"/>
          </w:tcPr>
          <w:p>
            <w:pPr>
              <w:jc w:val="center"/>
              <w:ind w:right="201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500" w:type="dxa"/>
            <w:vAlign w:val="bottom"/>
          </w:tcPr>
          <w:p>
            <w:pPr>
              <w:jc w:val="right"/>
              <w:ind w:right="2271"/>
              <w:spacing w:after="0"/>
              <w:rPr>
                <w:sz w:val="20"/>
                <w:szCs w:val="20"/>
                <w:color w:val="auto"/>
              </w:rPr>
            </w:pPr>
            <w:r>
              <w:rPr>
                <w:rFonts w:ascii="Times New Roman" w:cs="Times New Roman" w:eastAsia="Times New Roman" w:hAnsi="Times New Roman"/>
                <w:sz w:val="18"/>
                <w:szCs w:val="18"/>
                <w:b w:val="1"/>
                <w:bCs w:val="1"/>
                <w:color w:val="auto"/>
              </w:rPr>
              <w:t>58-1960019</w:t>
            </w:r>
          </w:p>
        </w:tc>
        <w:tc>
          <w:tcPr>
            <w:tcW w:w="0" w:type="dxa"/>
            <w:vAlign w:val="bottom"/>
          </w:tcPr>
          <w:p>
            <w:pPr>
              <w:spacing w:after="0"/>
              <w:rPr>
                <w:sz w:val="1"/>
                <w:szCs w:val="1"/>
                <w:color w:val="auto"/>
              </w:rPr>
            </w:pPr>
          </w:p>
        </w:tc>
      </w:tr>
      <w:tr>
        <w:trPr>
          <w:trHeight w:val="232"/>
        </w:trPr>
        <w:tc>
          <w:tcPr>
            <w:tcW w:w="6520" w:type="dxa"/>
            <w:vAlign w:val="bottom"/>
            <w:gridSpan w:val="2"/>
          </w:tcPr>
          <w:p>
            <w:pPr>
              <w:jc w:val="center"/>
              <w:ind w:left="111"/>
              <w:spacing w:after="0"/>
              <w:rPr>
                <w:sz w:val="20"/>
                <w:szCs w:val="20"/>
                <w:color w:val="auto"/>
              </w:rPr>
            </w:pPr>
            <w:r>
              <w:rPr>
                <w:rFonts w:ascii="Times New Roman" w:cs="Times New Roman" w:eastAsia="Times New Roman" w:hAnsi="Times New Roman"/>
                <w:sz w:val="18"/>
                <w:szCs w:val="18"/>
                <w:color w:val="auto"/>
                <w:w w:val="98"/>
              </w:rPr>
              <w:t>(State or other jurisdiction of incorporation or organization)</w:t>
            </w:r>
          </w:p>
        </w:tc>
        <w:tc>
          <w:tcPr>
            <w:tcW w:w="4500" w:type="dxa"/>
            <w:vAlign w:val="bottom"/>
          </w:tcPr>
          <w:p>
            <w:pPr>
              <w:jc w:val="center"/>
              <w:ind w:right="991"/>
              <w:spacing w:after="0"/>
              <w:rPr>
                <w:sz w:val="20"/>
                <w:szCs w:val="20"/>
                <w:color w:val="auto"/>
              </w:rPr>
            </w:pPr>
            <w:r>
              <w:rPr>
                <w:rFonts w:ascii="Times New Roman" w:cs="Times New Roman" w:eastAsia="Times New Roman" w:hAnsi="Times New Roman"/>
                <w:sz w:val="18"/>
                <w:szCs w:val="18"/>
                <w:color w:val="auto"/>
                <w:w w:val="98"/>
              </w:rPr>
              <w:t>(I.R.S. Employer Identification No.)</w:t>
            </w:r>
          </w:p>
        </w:tc>
        <w:tc>
          <w:tcPr>
            <w:tcW w:w="0" w:type="dxa"/>
            <w:vAlign w:val="bottom"/>
          </w:tcPr>
          <w:p>
            <w:pPr>
              <w:spacing w:after="0"/>
              <w:rPr>
                <w:sz w:val="1"/>
                <w:szCs w:val="1"/>
                <w:color w:val="auto"/>
              </w:rPr>
            </w:pPr>
          </w:p>
        </w:tc>
      </w:tr>
      <w:tr>
        <w:trPr>
          <w:trHeight w:val="666"/>
        </w:trPr>
        <w:tc>
          <w:tcPr>
            <w:tcW w:w="2300" w:type="dxa"/>
            <w:vAlign w:val="bottom"/>
          </w:tcPr>
          <w:p>
            <w:pPr>
              <w:spacing w:after="0"/>
              <w:rPr>
                <w:sz w:val="24"/>
                <w:szCs w:val="24"/>
                <w:color w:val="auto"/>
              </w:rPr>
            </w:pPr>
          </w:p>
        </w:tc>
        <w:tc>
          <w:tcPr>
            <w:tcW w:w="4220" w:type="dxa"/>
            <w:vAlign w:val="bottom"/>
          </w:tcPr>
          <w:p>
            <w:pPr>
              <w:jc w:val="center"/>
              <w:ind w:right="2011"/>
              <w:spacing w:after="0"/>
              <w:rPr>
                <w:sz w:val="20"/>
                <w:szCs w:val="20"/>
                <w:color w:val="auto"/>
              </w:rPr>
            </w:pPr>
            <w:r>
              <w:rPr>
                <w:rFonts w:ascii="Times New Roman" w:cs="Times New Roman" w:eastAsia="Times New Roman" w:hAnsi="Times New Roman"/>
                <w:sz w:val="18"/>
                <w:szCs w:val="18"/>
                <w:b w:val="1"/>
                <w:bCs w:val="1"/>
                <w:color w:val="auto"/>
                <w:w w:val="99"/>
              </w:rPr>
              <w:t>4205 River Green Parkway</w:t>
            </w:r>
          </w:p>
        </w:tc>
        <w:tc>
          <w:tcPr>
            <w:tcW w:w="4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4220" w:type="dxa"/>
            <w:vAlign w:val="bottom"/>
          </w:tcPr>
          <w:p>
            <w:pPr>
              <w:jc w:val="center"/>
              <w:ind w:right="2011"/>
              <w:spacing w:after="0"/>
              <w:rPr>
                <w:sz w:val="20"/>
                <w:szCs w:val="20"/>
                <w:color w:val="auto"/>
              </w:rPr>
            </w:pPr>
            <w:r>
              <w:rPr>
                <w:rFonts w:ascii="Times New Roman" w:cs="Times New Roman" w:eastAsia="Times New Roman" w:hAnsi="Times New Roman"/>
                <w:sz w:val="18"/>
                <w:szCs w:val="18"/>
                <w:b w:val="1"/>
                <w:bCs w:val="1"/>
                <w:color w:val="auto"/>
                <w:w w:val="99"/>
              </w:rPr>
              <w:t>Duluth, Georgia</w:t>
            </w:r>
          </w:p>
        </w:tc>
        <w:tc>
          <w:tcPr>
            <w:tcW w:w="4500" w:type="dxa"/>
            <w:vAlign w:val="bottom"/>
          </w:tcPr>
          <w:p>
            <w:pPr>
              <w:jc w:val="right"/>
              <w:ind w:right="2471"/>
              <w:spacing w:after="0"/>
              <w:rPr>
                <w:sz w:val="20"/>
                <w:szCs w:val="20"/>
                <w:color w:val="auto"/>
              </w:rPr>
            </w:pPr>
            <w:r>
              <w:rPr>
                <w:rFonts w:ascii="Times New Roman" w:cs="Times New Roman" w:eastAsia="Times New Roman" w:hAnsi="Times New Roman"/>
                <w:sz w:val="18"/>
                <w:szCs w:val="18"/>
                <w:b w:val="1"/>
                <w:bCs w:val="1"/>
                <w:color w:val="auto"/>
              </w:rPr>
              <w:t>30096</w:t>
            </w:r>
          </w:p>
        </w:tc>
        <w:tc>
          <w:tcPr>
            <w:tcW w:w="0" w:type="dxa"/>
            <w:vAlign w:val="bottom"/>
          </w:tcPr>
          <w:p>
            <w:pPr>
              <w:spacing w:after="0"/>
              <w:rPr>
                <w:sz w:val="1"/>
                <w:szCs w:val="1"/>
                <w:color w:val="auto"/>
              </w:rPr>
            </w:pPr>
          </w:p>
        </w:tc>
      </w:tr>
      <w:tr>
        <w:trPr>
          <w:trHeight w:val="232"/>
        </w:trPr>
        <w:tc>
          <w:tcPr>
            <w:tcW w:w="6520" w:type="dxa"/>
            <w:vAlign w:val="bottom"/>
            <w:gridSpan w:val="2"/>
            <w:vMerge w:val="restart"/>
          </w:tcPr>
          <w:p>
            <w:pPr>
              <w:jc w:val="center"/>
              <w:ind w:left="91"/>
              <w:spacing w:after="0"/>
              <w:rPr>
                <w:sz w:val="20"/>
                <w:szCs w:val="20"/>
                <w:color w:val="auto"/>
              </w:rPr>
            </w:pPr>
            <w:r>
              <w:rPr>
                <w:rFonts w:ascii="Times New Roman" w:cs="Times New Roman" w:eastAsia="Times New Roman" w:hAnsi="Times New Roman"/>
                <w:sz w:val="18"/>
                <w:szCs w:val="18"/>
                <w:color w:val="auto"/>
                <w:w w:val="98"/>
              </w:rPr>
              <w:t>(Address of principal executive offices)</w:t>
            </w:r>
          </w:p>
        </w:tc>
        <w:tc>
          <w:tcPr>
            <w:tcW w:w="4500" w:type="dxa"/>
            <w:vAlign w:val="bottom"/>
          </w:tcPr>
          <w:p>
            <w:pPr>
              <w:jc w:val="center"/>
              <w:ind w:right="991"/>
              <w:spacing w:after="0"/>
              <w:rPr>
                <w:sz w:val="20"/>
                <w:szCs w:val="20"/>
                <w:color w:val="auto"/>
              </w:rPr>
            </w:pPr>
            <w:r>
              <w:rPr>
                <w:rFonts w:ascii="Times New Roman" w:cs="Times New Roman" w:eastAsia="Times New Roman" w:hAnsi="Times New Roman"/>
                <w:sz w:val="18"/>
                <w:szCs w:val="18"/>
                <w:color w:val="auto"/>
                <w:w w:val="98"/>
              </w:rPr>
              <w:t>(Zip Code)</w:t>
            </w:r>
          </w:p>
        </w:tc>
        <w:tc>
          <w:tcPr>
            <w:tcW w:w="0" w:type="dxa"/>
            <w:vAlign w:val="bottom"/>
          </w:tcPr>
          <w:p>
            <w:pPr>
              <w:spacing w:after="0"/>
              <w:rPr>
                <w:sz w:val="1"/>
                <w:szCs w:val="1"/>
                <w:color w:val="auto"/>
              </w:rPr>
            </w:pPr>
          </w:p>
        </w:tc>
      </w:tr>
      <w:tr>
        <w:trPr>
          <w:trHeight w:val="80"/>
        </w:trPr>
        <w:tc>
          <w:tcPr>
            <w:tcW w:w="6520" w:type="dxa"/>
            <w:vAlign w:val="bottom"/>
            <w:gridSpan w:val="2"/>
            <w:vMerge w:val="continue"/>
          </w:tcPr>
          <w:p>
            <w:pPr>
              <w:spacing w:after="0"/>
              <w:rPr>
                <w:sz w:val="6"/>
                <w:szCs w:val="6"/>
                <w:color w:val="auto"/>
              </w:rPr>
            </w:pPr>
          </w:p>
        </w:tc>
        <w:tc>
          <w:tcPr>
            <w:tcW w:w="4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74"/>
        </w:trPr>
        <w:tc>
          <w:tcPr>
            <w:tcW w:w="2300" w:type="dxa"/>
            <w:vAlign w:val="bottom"/>
          </w:tcPr>
          <w:p>
            <w:pPr>
              <w:spacing w:after="0"/>
              <w:rPr>
                <w:sz w:val="24"/>
                <w:szCs w:val="24"/>
                <w:color w:val="auto"/>
              </w:rPr>
            </w:pPr>
          </w:p>
        </w:tc>
        <w:tc>
          <w:tcPr>
            <w:tcW w:w="4220" w:type="dxa"/>
            <w:vAlign w:val="bottom"/>
          </w:tcPr>
          <w:p>
            <w:pPr>
              <w:jc w:val="center"/>
              <w:ind w:left="2091"/>
              <w:spacing w:after="0"/>
              <w:rPr>
                <w:sz w:val="20"/>
                <w:szCs w:val="20"/>
                <w:color w:val="auto"/>
              </w:rPr>
            </w:pPr>
            <w:r>
              <w:rPr>
                <w:rFonts w:ascii="Times New Roman" w:cs="Times New Roman" w:eastAsia="Times New Roman" w:hAnsi="Times New Roman"/>
                <w:sz w:val="18"/>
                <w:szCs w:val="18"/>
                <w:b w:val="1"/>
                <w:bCs w:val="1"/>
                <w:color w:val="auto"/>
                <w:w w:val="99"/>
              </w:rPr>
              <w:t>(770) 813-9200</w:t>
            </w:r>
          </w:p>
        </w:tc>
        <w:tc>
          <w:tcPr>
            <w:tcW w:w="4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300" w:type="dxa"/>
            <w:vAlign w:val="bottom"/>
          </w:tcPr>
          <w:p>
            <w:pPr>
              <w:spacing w:after="0"/>
              <w:rPr>
                <w:sz w:val="20"/>
                <w:szCs w:val="20"/>
                <w:color w:val="auto"/>
              </w:rPr>
            </w:pPr>
          </w:p>
        </w:tc>
        <w:tc>
          <w:tcPr>
            <w:tcW w:w="8720" w:type="dxa"/>
            <w:vAlign w:val="bottom"/>
            <w:gridSpan w:val="2"/>
          </w:tcPr>
          <w:p>
            <w:pPr>
              <w:jc w:val="center"/>
              <w:ind w:right="2211"/>
              <w:spacing w:after="0"/>
              <w:rPr>
                <w:sz w:val="20"/>
                <w:szCs w:val="20"/>
                <w:color w:val="auto"/>
              </w:rPr>
            </w:pPr>
            <w:r>
              <w:rPr>
                <w:rFonts w:ascii="Times New Roman" w:cs="Times New Roman" w:eastAsia="Times New Roman" w:hAnsi="Times New Roman"/>
                <w:sz w:val="18"/>
                <w:szCs w:val="18"/>
                <w:color w:val="auto"/>
                <w:w w:val="98"/>
              </w:rPr>
              <w:t>(Registrant's telephone number, including area code)</w:t>
            </w:r>
          </w:p>
        </w:tc>
        <w:tc>
          <w:tcPr>
            <w:tcW w:w="0" w:type="dxa"/>
            <w:vAlign w:val="bottom"/>
          </w:tcPr>
          <w:p>
            <w:pPr>
              <w:spacing w:after="0"/>
              <w:rPr>
                <w:sz w:val="1"/>
                <w:szCs w:val="1"/>
                <w:color w:val="auto"/>
              </w:rPr>
            </w:pPr>
          </w:p>
        </w:tc>
      </w:tr>
      <w:tr>
        <w:trPr>
          <w:trHeight w:val="119"/>
        </w:trPr>
        <w:tc>
          <w:tcPr>
            <w:tcW w:w="2300" w:type="dxa"/>
            <w:vAlign w:val="bottom"/>
            <w:tcBorders>
              <w:bottom w:val="single" w:sz="8" w:color="auto"/>
            </w:tcBorders>
          </w:tcPr>
          <w:p>
            <w:pPr>
              <w:spacing w:after="0"/>
              <w:rPr>
                <w:sz w:val="10"/>
                <w:szCs w:val="10"/>
                <w:color w:val="auto"/>
              </w:rPr>
            </w:pPr>
          </w:p>
        </w:tc>
        <w:tc>
          <w:tcPr>
            <w:tcW w:w="8720" w:type="dxa"/>
            <w:vAlign w:val="bottom"/>
            <w:tcBorders>
              <w:bottom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359"/>
        </w:trPr>
        <w:tc>
          <w:tcPr>
            <w:tcW w:w="2300" w:type="dxa"/>
            <w:vAlign w:val="bottom"/>
          </w:tcPr>
          <w:p>
            <w:pPr>
              <w:spacing w:after="0"/>
              <w:rPr>
                <w:sz w:val="24"/>
                <w:szCs w:val="24"/>
                <w:color w:val="auto"/>
              </w:rPr>
            </w:pPr>
          </w:p>
        </w:tc>
        <w:tc>
          <w:tcPr>
            <w:tcW w:w="8720" w:type="dxa"/>
            <w:vAlign w:val="bottom"/>
            <w:gridSpan w:val="2"/>
          </w:tcPr>
          <w:p>
            <w:pPr>
              <w:jc w:val="center"/>
              <w:ind w:right="2231"/>
              <w:spacing w:after="0"/>
              <w:rPr>
                <w:sz w:val="20"/>
                <w:szCs w:val="20"/>
                <w:color w:val="auto"/>
              </w:rPr>
            </w:pPr>
            <w:r>
              <w:rPr>
                <w:rFonts w:ascii="Times New Roman" w:cs="Times New Roman" w:eastAsia="Times New Roman" w:hAnsi="Times New Roman"/>
                <w:sz w:val="18"/>
                <w:szCs w:val="18"/>
                <w:b w:val="1"/>
                <w:bCs w:val="1"/>
                <w:color w:val="auto"/>
                <w:w w:val="98"/>
              </w:rPr>
              <w:t>Securities registered pursuant to Section 12(b) of the Act</w:t>
            </w:r>
          </w:p>
        </w:tc>
        <w:tc>
          <w:tcPr>
            <w:tcW w:w="0" w:type="dxa"/>
            <w:vAlign w:val="bottom"/>
          </w:tcPr>
          <w:p>
            <w:pPr>
              <w:spacing w:after="0"/>
              <w:rPr>
                <w:sz w:val="1"/>
                <w:szCs w:val="1"/>
                <w:color w:val="auto"/>
              </w:rPr>
            </w:pPr>
          </w:p>
        </w:tc>
      </w:tr>
      <w:tr>
        <w:trPr>
          <w:trHeight w:val="229"/>
        </w:trPr>
        <w:tc>
          <w:tcPr>
            <w:tcW w:w="2300" w:type="dxa"/>
            <w:vAlign w:val="bottom"/>
          </w:tcPr>
          <w:p>
            <w:pPr>
              <w:jc w:val="center"/>
              <w:ind w:left="1071"/>
              <w:spacing w:after="0"/>
              <w:rPr>
                <w:sz w:val="20"/>
                <w:szCs w:val="20"/>
                <w:color w:val="auto"/>
              </w:rPr>
            </w:pPr>
            <w:r>
              <w:rPr>
                <w:rFonts w:ascii="Times New Roman" w:cs="Times New Roman" w:eastAsia="Times New Roman" w:hAnsi="Times New Roman"/>
                <w:sz w:val="18"/>
                <w:szCs w:val="18"/>
                <w:b w:val="1"/>
                <w:bCs w:val="1"/>
                <w:color w:val="auto"/>
                <w:w w:val="96"/>
              </w:rPr>
              <w:t>Title of Class</w:t>
            </w:r>
          </w:p>
        </w:tc>
        <w:tc>
          <w:tcPr>
            <w:tcW w:w="4220" w:type="dxa"/>
            <w:vAlign w:val="bottom"/>
          </w:tcPr>
          <w:p>
            <w:pPr>
              <w:jc w:val="center"/>
              <w:ind w:left="2031"/>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4500" w:type="dxa"/>
            <w:vAlign w:val="bottom"/>
          </w:tcPr>
          <w:p>
            <w:pPr>
              <w:jc w:val="center"/>
              <w:ind w:left="851"/>
              <w:spacing w:after="0"/>
              <w:rPr>
                <w:sz w:val="20"/>
                <w:szCs w:val="20"/>
                <w:color w:val="auto"/>
              </w:rPr>
            </w:pPr>
            <w:r>
              <w:rPr>
                <w:rFonts w:ascii="Times New Roman" w:cs="Times New Roman" w:eastAsia="Times New Roman" w:hAnsi="Times New Roman"/>
                <w:sz w:val="18"/>
                <w:szCs w:val="18"/>
                <w:b w:val="1"/>
                <w:bCs w:val="1"/>
                <w:color w:val="auto"/>
                <w:w w:val="98"/>
              </w:rPr>
              <w:t>Name of exchange on which registered</w:t>
            </w:r>
          </w:p>
        </w:tc>
        <w:tc>
          <w:tcPr>
            <w:tcW w:w="0" w:type="dxa"/>
            <w:vAlign w:val="bottom"/>
          </w:tcPr>
          <w:p>
            <w:pPr>
              <w:spacing w:after="0"/>
              <w:rPr>
                <w:sz w:val="1"/>
                <w:szCs w:val="1"/>
                <w:color w:val="auto"/>
              </w:rPr>
            </w:pPr>
          </w:p>
        </w:tc>
      </w:tr>
      <w:tr>
        <w:trPr>
          <w:trHeight w:val="232"/>
        </w:trPr>
        <w:tc>
          <w:tcPr>
            <w:tcW w:w="2300" w:type="dxa"/>
            <w:vAlign w:val="bottom"/>
          </w:tcPr>
          <w:p>
            <w:pPr>
              <w:jc w:val="center"/>
              <w:ind w:left="1091"/>
              <w:spacing w:after="0"/>
              <w:rPr>
                <w:sz w:val="20"/>
                <w:szCs w:val="20"/>
                <w:color w:val="auto"/>
              </w:rPr>
            </w:pPr>
            <w:r>
              <w:rPr>
                <w:rFonts w:ascii="Times New Roman" w:cs="Times New Roman" w:eastAsia="Times New Roman" w:hAnsi="Times New Roman"/>
                <w:sz w:val="18"/>
                <w:szCs w:val="18"/>
                <w:color w:val="auto"/>
                <w:w w:val="98"/>
              </w:rPr>
              <w:t>Common stock</w:t>
            </w:r>
          </w:p>
        </w:tc>
        <w:tc>
          <w:tcPr>
            <w:tcW w:w="4220" w:type="dxa"/>
            <w:vAlign w:val="bottom"/>
          </w:tcPr>
          <w:p>
            <w:pPr>
              <w:jc w:val="center"/>
              <w:ind w:left="2031"/>
              <w:spacing w:after="0"/>
              <w:rPr>
                <w:sz w:val="20"/>
                <w:szCs w:val="20"/>
                <w:color w:val="auto"/>
              </w:rPr>
            </w:pPr>
            <w:r>
              <w:rPr>
                <w:rFonts w:ascii="Times New Roman" w:cs="Times New Roman" w:eastAsia="Times New Roman" w:hAnsi="Times New Roman"/>
                <w:sz w:val="18"/>
                <w:szCs w:val="18"/>
                <w:color w:val="auto"/>
                <w:w w:val="97"/>
              </w:rPr>
              <w:t>AGCO</w:t>
            </w:r>
          </w:p>
        </w:tc>
        <w:tc>
          <w:tcPr>
            <w:tcW w:w="4500" w:type="dxa"/>
            <w:vAlign w:val="bottom"/>
          </w:tcPr>
          <w:p>
            <w:pPr>
              <w:jc w:val="center"/>
              <w:ind w:left="851"/>
              <w:spacing w:after="0"/>
              <w:rPr>
                <w:sz w:val="20"/>
                <w:szCs w:val="20"/>
                <w:color w:val="auto"/>
              </w:rPr>
            </w:pPr>
            <w:r>
              <w:rPr>
                <w:rFonts w:ascii="Times New Roman" w:cs="Times New Roman" w:eastAsia="Times New Roman" w:hAnsi="Times New Roman"/>
                <w:sz w:val="18"/>
                <w:szCs w:val="18"/>
                <w:color w:val="auto"/>
                <w:w w:val="97"/>
              </w:rPr>
              <w:t>New York Stock Exchange</w:t>
            </w:r>
          </w:p>
        </w:tc>
        <w:tc>
          <w:tcPr>
            <w:tcW w:w="0" w:type="dxa"/>
            <w:vAlign w:val="bottom"/>
          </w:tcPr>
          <w:p>
            <w:pPr>
              <w:spacing w:after="0"/>
              <w:rPr>
                <w:sz w:val="1"/>
                <w:szCs w:val="1"/>
                <w:color w:val="auto"/>
              </w:rPr>
            </w:pPr>
          </w:p>
        </w:tc>
      </w:tr>
    </w:tbl>
    <w:p>
      <w:pPr>
        <w:spacing w:after="0" w:line="319" w:lineRule="exact"/>
        <w:rPr>
          <w:sz w:val="24"/>
          <w:szCs w:val="24"/>
          <w:color w:val="auto"/>
        </w:rPr>
      </w:pPr>
    </w:p>
    <w:p>
      <w:pPr>
        <w:ind w:firstLine="400"/>
        <w:spacing w:after="0" w:line="275"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71" w:lineRule="exact"/>
        <w:rPr>
          <w:sz w:val="24"/>
          <w:szCs w:val="24"/>
          <w:color w:val="auto"/>
        </w:rPr>
      </w:pPr>
    </w:p>
    <w:p>
      <w:pPr>
        <w:ind w:left="720" w:hanging="314"/>
        <w:spacing w:after="0"/>
        <w:tabs>
          <w:tab w:leader="none" w:pos="7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 xml:space="preserve">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w:t>
      </w:r>
    </w:p>
    <w:p>
      <w:pPr>
        <w:spacing w:after="0" w:line="91" w:lineRule="exact"/>
        <w:rPr>
          <w:sz w:val="24"/>
          <w:szCs w:val="24"/>
          <w:color w:val="auto"/>
        </w:rPr>
      </w:pPr>
    </w:p>
    <w:p>
      <w:pPr>
        <w:ind w:firstLine="400"/>
        <w:spacing w:after="0" w:line="275"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71" w:lineRule="exact"/>
        <w:rPr>
          <w:sz w:val="24"/>
          <w:szCs w:val="24"/>
          <w:color w:val="auto"/>
        </w:rPr>
      </w:pPr>
    </w:p>
    <w:p>
      <w:pPr>
        <w:ind w:left="720" w:hanging="314"/>
        <w:spacing w:after="0"/>
        <w:tabs>
          <w:tab w:leader="none" w:pos="7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 xml:space="preserve">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w:t>
      </w:r>
    </w:p>
    <w:p>
      <w:pPr>
        <w:spacing w:after="0" w:line="91" w:lineRule="exact"/>
        <w:rPr>
          <w:sz w:val="24"/>
          <w:szCs w:val="24"/>
          <w:color w:val="auto"/>
        </w:rPr>
      </w:pPr>
    </w:p>
    <w:p>
      <w:pPr>
        <w:ind w:right="20" w:firstLine="400"/>
        <w:spacing w:after="0" w:line="328"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5" w:lineRule="exact"/>
        <w:rPr>
          <w:sz w:val="24"/>
          <w:szCs w:val="24"/>
          <w:color w:val="auto"/>
        </w:rPr>
      </w:pPr>
    </w:p>
    <w:tbl>
      <w:tblPr>
        <w:tblLayout w:type="fixed"/>
        <w:tblInd w:w="420" w:type="dxa"/>
        <w:tblCellMar>
          <w:top w:w="0" w:type="dxa"/>
          <w:left w:w="0" w:type="dxa"/>
          <w:bottom w:w="0" w:type="dxa"/>
          <w:right w:w="0" w:type="dxa"/>
        </w:tblCellMar>
      </w:tblPr>
      <w:tr>
        <w:trPr>
          <w:trHeight w:val="184"/>
        </w:trPr>
        <w:tc>
          <w:tcPr>
            <w:tcW w:w="1920" w:type="dxa"/>
            <w:vAlign w:val="bottom"/>
            <w:vMerge w:val="restart"/>
          </w:tcPr>
          <w:p>
            <w:pPr>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Large accelerated filer</w:t>
            </w:r>
          </w:p>
        </w:tc>
        <w:tc>
          <w:tcPr>
            <w:tcW w:w="1980" w:type="dxa"/>
            <w:vAlign w:val="bottom"/>
            <w:vMerge w:val="restart"/>
          </w:tcPr>
          <w:p>
            <w:pPr>
              <w:ind w:left="22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Accelerated filer</w:t>
            </w:r>
          </w:p>
        </w:tc>
        <w:tc>
          <w:tcPr>
            <w:tcW w:w="2320" w:type="dxa"/>
            <w:vAlign w:val="bottom"/>
            <w:vMerge w:val="restart"/>
          </w:tcPr>
          <w:p>
            <w:pPr>
              <w:ind w:left="4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Non-accelerated filer</w:t>
            </w:r>
          </w:p>
        </w:tc>
        <w:tc>
          <w:tcPr>
            <w:tcW w:w="3840" w:type="dxa"/>
            <w:vAlign w:val="bottom"/>
          </w:tcPr>
          <w:p>
            <w:pPr>
              <w:ind w:left="2720"/>
              <w:spacing w:after="0"/>
              <w:rPr>
                <w:sz w:val="20"/>
                <w:szCs w:val="20"/>
                <w:color w:val="auto"/>
              </w:rPr>
            </w:pPr>
            <w:r>
              <w:rPr>
                <w:rFonts w:ascii="Times New Roman" w:cs="Times New Roman" w:eastAsia="Times New Roman" w:hAnsi="Times New Roman"/>
                <w:sz w:val="16"/>
                <w:szCs w:val="16"/>
                <w:color w:val="auto"/>
                <w:w w:val="97"/>
              </w:rPr>
              <w:t>Emerging growth</w:t>
            </w:r>
          </w:p>
        </w:tc>
        <w:tc>
          <w:tcPr>
            <w:tcW w:w="0" w:type="dxa"/>
            <w:vAlign w:val="bottom"/>
          </w:tcPr>
          <w:p>
            <w:pPr>
              <w:spacing w:after="0"/>
              <w:rPr>
                <w:sz w:val="1"/>
                <w:szCs w:val="1"/>
                <w:color w:val="auto"/>
              </w:rPr>
            </w:pPr>
          </w:p>
        </w:tc>
      </w:tr>
      <w:tr>
        <w:trPr>
          <w:trHeight w:val="268"/>
        </w:trPr>
        <w:tc>
          <w:tcPr>
            <w:tcW w:w="1920" w:type="dxa"/>
            <w:vAlign w:val="bottom"/>
            <w:vMerge w:val="continue"/>
          </w:tcPr>
          <w:p>
            <w:pPr>
              <w:spacing w:after="0"/>
              <w:rPr>
                <w:sz w:val="23"/>
                <w:szCs w:val="23"/>
                <w:color w:val="auto"/>
              </w:rPr>
            </w:pPr>
          </w:p>
        </w:tc>
        <w:tc>
          <w:tcPr>
            <w:tcW w:w="1980" w:type="dxa"/>
            <w:vAlign w:val="bottom"/>
            <w:vMerge w:val="continue"/>
          </w:tcPr>
          <w:p>
            <w:pPr>
              <w:spacing w:after="0"/>
              <w:rPr>
                <w:sz w:val="23"/>
                <w:szCs w:val="23"/>
                <w:color w:val="auto"/>
              </w:rPr>
            </w:pPr>
          </w:p>
        </w:tc>
        <w:tc>
          <w:tcPr>
            <w:tcW w:w="2320" w:type="dxa"/>
            <w:vAlign w:val="bottom"/>
            <w:vMerge w:val="continue"/>
          </w:tcPr>
          <w:p>
            <w:pPr>
              <w:spacing w:after="0"/>
              <w:rPr>
                <w:sz w:val="23"/>
                <w:szCs w:val="23"/>
                <w:color w:val="auto"/>
              </w:rPr>
            </w:pPr>
          </w:p>
        </w:tc>
        <w:tc>
          <w:tcPr>
            <w:tcW w:w="3840" w:type="dxa"/>
            <w:vAlign w:val="bottom"/>
          </w:tcPr>
          <w:p>
            <w:pPr>
              <w:ind w:left="26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Smaller reporting company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company</w:t>
            </w:r>
          </w:p>
        </w:tc>
        <w:tc>
          <w:tcPr>
            <w:tcW w:w="0" w:type="dxa"/>
            <w:vAlign w:val="bottom"/>
          </w:tcPr>
          <w:p>
            <w:pPr>
              <w:spacing w:after="0"/>
              <w:rPr>
                <w:sz w:val="1"/>
                <w:szCs w:val="1"/>
                <w:color w:val="auto"/>
              </w:rPr>
            </w:pPr>
          </w:p>
        </w:tc>
      </w:tr>
    </w:tbl>
    <w:p>
      <w:pPr>
        <w:spacing w:after="0" w:line="64" w:lineRule="exact"/>
        <w:rPr>
          <w:sz w:val="24"/>
          <w:szCs w:val="24"/>
          <w:color w:val="auto"/>
        </w:rPr>
      </w:pPr>
    </w:p>
    <w:p>
      <w:pPr>
        <w:ind w:right="320" w:firstLine="400"/>
        <w:spacing w:after="0" w:line="228"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9" w:lineRule="exact"/>
        <w:rPr>
          <w:sz w:val="24"/>
          <w:szCs w:val="24"/>
          <w:color w:val="auto"/>
        </w:rPr>
      </w:pPr>
    </w:p>
    <w:p>
      <w:pPr>
        <w:ind w:left="400"/>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 xml:space="preserve"> No</w:t>
      </w:r>
    </w:p>
    <w:p>
      <w:pPr>
        <w:spacing w:after="0" w:line="169"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6"/>
          <w:szCs w:val="16"/>
          <w:color w:val="auto"/>
        </w:rPr>
        <w:t>As of April 30, 2026, there were 72,408,527 shares of the registrant’s common stock, par value of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818515</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80645</wp:posOffset>
            </wp:positionH>
            <wp:positionV relativeFrom="paragraph">
              <wp:posOffset>95250</wp:posOffset>
            </wp:positionV>
            <wp:extent cx="6990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0080" cy="825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0" w:type="dxa"/>
            <w:vAlign w:val="bottom"/>
            <w:gridSpan w:val="8"/>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8"/>
              </w:rPr>
              <w:t>AGCO CORPORATION</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3"/>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00" w:type="dxa"/>
            <w:vAlign w:val="bottom"/>
            <w:gridSpan w:val="6"/>
          </w:tcPr>
          <w:p>
            <w:pPr>
              <w:jc w:val="center"/>
              <w:ind w:right="404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3"/>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auto"/>
              </w:rPr>
              <w:t>Page</w:t>
            </w:r>
          </w:p>
        </w:tc>
      </w:tr>
      <w:tr>
        <w:trPr>
          <w:trHeight w:val="233"/>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auto"/>
                <w:w w:val="96"/>
              </w:rPr>
              <w:t>Numbers</w:t>
            </w:r>
          </w:p>
        </w:tc>
      </w:tr>
      <w:tr>
        <w:trPr>
          <w:trHeight w:val="386"/>
        </w:trPr>
        <w:tc>
          <w:tcPr>
            <w:tcW w:w="20" w:type="dxa"/>
            <w:vAlign w:val="bottom"/>
          </w:tcPr>
          <w:p>
            <w:pPr>
              <w:spacing w:after="0"/>
              <w:rPr>
                <w:sz w:val="24"/>
                <w:szCs w:val="24"/>
                <w:color w:val="auto"/>
              </w:rPr>
            </w:pPr>
          </w:p>
        </w:tc>
        <w:tc>
          <w:tcPr>
            <w:tcW w:w="31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b w:val="1"/>
                <w:bCs w:val="1"/>
                <w:color w:val="0000FF"/>
                <w:w w:val="97"/>
              </w:rPr>
              <w:t>PART I. FINANCIAL INFORMATION:</w:t>
            </w:r>
          </w:p>
        </w:tc>
        <w:tc>
          <w:tcPr>
            <w:tcW w:w="6980" w:type="dxa"/>
            <w:vAlign w:val="bottom"/>
            <w:gridSpan w:val="9"/>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66"/>
        </w:trPr>
        <w:tc>
          <w:tcPr>
            <w:tcW w:w="2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1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6"/>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Condensed Consolidated Balance Sheets as of March 31, 2026 and December 31, 2025</w:t>
            </w:r>
          </w:p>
        </w:tc>
        <w:tc>
          <w:tcPr>
            <w:tcW w:w="2500" w:type="dxa"/>
            <w:vAlign w:val="bottom"/>
            <w:gridSpan w:val="4"/>
          </w:tcPr>
          <w:p>
            <w:pPr>
              <w:spacing w:after="0"/>
              <w:rPr>
                <w:sz w:val="24"/>
                <w:szCs w:val="24"/>
                <w:color w:val="auto"/>
              </w:rPr>
            </w:pPr>
          </w:p>
        </w:tc>
        <w:tc>
          <w:tcPr>
            <w:tcW w:w="1000" w:type="dxa"/>
            <w:vAlign w:val="bottom"/>
            <w:gridSpan w:val="2"/>
          </w:tcPr>
          <w:p>
            <w:pPr>
              <w:spacing w:after="0"/>
              <w:rPr>
                <w:sz w:val="24"/>
                <w:szCs w:val="24"/>
                <w:color w:val="auto"/>
              </w:rPr>
            </w:pPr>
          </w:p>
        </w:tc>
        <w:tc>
          <w:tcPr>
            <w:tcW w:w="100" w:type="dxa"/>
            <w:vAlign w:val="bottom"/>
            <w:tcBorders>
              <w:bottom w:val="single" w:sz="8" w:color="1B10FF"/>
            </w:tcBorders>
          </w:tcPr>
          <w:p>
            <w:pPr>
              <w:jc w:val="right"/>
              <w:spacing w:after="0"/>
              <w:rPr>
                <w:sz w:val="20"/>
                <w:szCs w:val="20"/>
                <w:color w:val="auto"/>
              </w:rPr>
            </w:pPr>
            <w:r>
              <w:rPr>
                <w:rFonts w:ascii="Times New Roman" w:cs="Times New Roman" w:eastAsia="Times New Roman" w:hAnsi="Times New Roman"/>
                <w:sz w:val="18"/>
                <w:szCs w:val="18"/>
                <w:color w:val="1B10FF"/>
                <w:w w:val="88"/>
              </w:rPr>
              <w:t>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6"/>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5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8"/>
              </w:rPr>
              <w:t>Condensed Consolidated Statements of Operations for the Three Months Ended March 31, 2026 and 2025</w:t>
            </w:r>
          </w:p>
        </w:tc>
        <w:tc>
          <w:tcPr>
            <w:tcW w:w="1160" w:type="dxa"/>
            <w:vAlign w:val="bottom"/>
            <w:gridSpan w:val="3"/>
          </w:tcPr>
          <w:p>
            <w:pPr>
              <w:spacing w:after="0"/>
              <w:rPr>
                <w:sz w:val="24"/>
                <w:szCs w:val="24"/>
                <w:color w:val="auto"/>
              </w:rPr>
            </w:pPr>
          </w:p>
        </w:tc>
        <w:tc>
          <w:tcPr>
            <w:tcW w:w="100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6"/>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8"/>
              </w:rPr>
              <w:t>Condensed Consolidated Statements of Comprehensive Income for the Three Months Ended March 31, 2026 and 2025</w:t>
            </w:r>
          </w:p>
        </w:tc>
        <w:tc>
          <w:tcPr>
            <w:tcW w:w="240" w:type="dxa"/>
            <w:vAlign w:val="bottom"/>
          </w:tcPr>
          <w:p>
            <w:pPr>
              <w:spacing w:after="0"/>
              <w:rPr>
                <w:sz w:val="24"/>
                <w:szCs w:val="24"/>
                <w:color w:val="auto"/>
              </w:rPr>
            </w:pPr>
          </w:p>
        </w:tc>
        <w:tc>
          <w:tcPr>
            <w:tcW w:w="100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6"/>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7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2026 and 2025</w:t>
            </w:r>
          </w:p>
        </w:tc>
        <w:tc>
          <w:tcPr>
            <w:tcW w:w="1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1B10FF"/>
              </w:rPr>
              <w:t>6</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140" w:type="dxa"/>
            <w:vAlign w:val="bottom"/>
            <w:tcBorders>
              <w:left w:val="single" w:sz="8" w:color="0000FF"/>
            </w:tcBorders>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1B1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6"/>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9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Notes to Condensed Consolidated Financial Statements</w:t>
            </w:r>
          </w:p>
        </w:tc>
        <w:tc>
          <w:tcPr>
            <w:tcW w:w="5200" w:type="dxa"/>
            <w:vAlign w:val="bottom"/>
            <w:gridSpan w:val="7"/>
          </w:tcPr>
          <w:p>
            <w:pPr>
              <w:spacing w:after="0"/>
              <w:rPr>
                <w:sz w:val="24"/>
                <w:szCs w:val="24"/>
                <w:color w:val="auto"/>
              </w:rPr>
            </w:pPr>
          </w:p>
        </w:tc>
        <w:tc>
          <w:tcPr>
            <w:tcW w:w="1000" w:type="dxa"/>
            <w:vAlign w:val="bottom"/>
            <w:gridSpan w:val="2"/>
          </w:tcPr>
          <w:p>
            <w:pPr>
              <w:spacing w:after="0"/>
              <w:rPr>
                <w:sz w:val="24"/>
                <w:szCs w:val="24"/>
                <w:color w:val="auto"/>
              </w:rPr>
            </w:pPr>
          </w:p>
        </w:tc>
        <w:tc>
          <w:tcPr>
            <w:tcW w:w="100" w:type="dxa"/>
            <w:vAlign w:val="bottom"/>
            <w:tcBorders>
              <w:bottom w:val="single" w:sz="8" w:color="1B10FF"/>
            </w:tcBorders>
          </w:tcPr>
          <w:p>
            <w:pPr>
              <w:jc w:val="right"/>
              <w:spacing w:after="0"/>
              <w:rPr>
                <w:sz w:val="20"/>
                <w:szCs w:val="20"/>
                <w:color w:val="auto"/>
              </w:rPr>
            </w:pPr>
            <w:r>
              <w:rPr>
                <w:rFonts w:ascii="Times New Roman" w:cs="Times New Roman" w:eastAsia="Times New Roman" w:hAnsi="Times New Roman"/>
                <w:sz w:val="18"/>
                <w:szCs w:val="18"/>
                <w:color w:val="1B10FF"/>
                <w:w w:val="88"/>
              </w:rPr>
              <w:t>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6"/>
        </w:trPr>
        <w:tc>
          <w:tcPr>
            <w:tcW w:w="2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1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380" w:type="dxa"/>
            <w:vAlign w:val="bottom"/>
            <w:gridSpan w:val="4"/>
            <w:shd w:val="clear" w:color="auto" w:fill="0000FF"/>
          </w:tcPr>
          <w:p>
            <w:pPr>
              <w:spacing w:after="0" w:line="20" w:lineRule="exact"/>
              <w:rPr>
                <w:sz w:val="1"/>
                <w:szCs w:val="1"/>
                <w:color w:val="auto"/>
              </w:rPr>
            </w:pPr>
          </w:p>
        </w:tc>
        <w:tc>
          <w:tcPr>
            <w:tcW w:w="4900" w:type="dxa"/>
            <w:vAlign w:val="bottom"/>
            <w:tcBorders>
              <w:left w:val="single" w:sz="8" w:color="0000FF"/>
            </w:tcBorders>
            <w:gridSpan w:val="6"/>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6"/>
        </w:trPr>
        <w:tc>
          <w:tcPr>
            <w:tcW w:w="2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2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7"/>
              </w:rPr>
              <w:t>Quantitative and Qualitative Disclosures about Market Risk</w:t>
            </w:r>
          </w:p>
        </w:tc>
        <w:tc>
          <w:tcPr>
            <w:tcW w:w="4900" w:type="dxa"/>
            <w:vAlign w:val="bottom"/>
            <w:gridSpan w:val="6"/>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380" w:type="dxa"/>
            <w:vAlign w:val="bottom"/>
            <w:gridSpan w:val="4"/>
            <w:shd w:val="clear" w:color="auto" w:fill="0000FF"/>
          </w:tcPr>
          <w:p>
            <w:pPr>
              <w:spacing w:after="0" w:line="20" w:lineRule="exact"/>
              <w:rPr>
                <w:sz w:val="1"/>
                <w:szCs w:val="1"/>
                <w:color w:val="auto"/>
              </w:rPr>
            </w:pPr>
          </w:p>
        </w:tc>
        <w:tc>
          <w:tcPr>
            <w:tcW w:w="490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6"/>
        </w:trPr>
        <w:tc>
          <w:tcPr>
            <w:tcW w:w="2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42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900" w:type="dxa"/>
            <w:vAlign w:val="bottom"/>
            <w:gridSpan w:val="6"/>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490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6"/>
        </w:trPr>
        <w:tc>
          <w:tcPr>
            <w:tcW w:w="20" w:type="dxa"/>
            <w:vAlign w:val="bottom"/>
          </w:tcPr>
          <w:p>
            <w:pPr>
              <w:spacing w:after="0"/>
              <w:rPr>
                <w:sz w:val="24"/>
                <w:szCs w:val="24"/>
                <w:color w:val="auto"/>
              </w:rPr>
            </w:pPr>
          </w:p>
        </w:tc>
        <w:tc>
          <w:tcPr>
            <w:tcW w:w="28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b w:val="1"/>
                <w:bCs w:val="1"/>
                <w:color w:val="0000FF"/>
                <w:w w:val="97"/>
              </w:rPr>
              <w:t>PART II. OTHER INFORMATION:</w:t>
            </w:r>
          </w:p>
        </w:tc>
        <w:tc>
          <w:tcPr>
            <w:tcW w:w="7280" w:type="dxa"/>
            <w:vAlign w:val="bottom"/>
            <w:gridSpan w:val="10"/>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6"/>
        </w:trPr>
        <w:tc>
          <w:tcPr>
            <w:tcW w:w="2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4"/>
              </w:rPr>
              <w:t>Legal Proceedings</w:t>
            </w:r>
          </w:p>
        </w:tc>
        <w:tc>
          <w:tcPr>
            <w:tcW w:w="7840" w:type="dxa"/>
            <w:vAlign w:val="bottom"/>
            <w:gridSpan w:val="12"/>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6"/>
        </w:trPr>
        <w:tc>
          <w:tcPr>
            <w:tcW w:w="2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00" w:type="dxa"/>
            <w:vAlign w:val="bottom"/>
          </w:tcPr>
          <w:p>
            <w:pPr>
              <w:spacing w:after="0"/>
              <w:rPr>
                <w:sz w:val="24"/>
                <w:szCs w:val="24"/>
                <w:color w:val="auto"/>
              </w:rPr>
            </w:pPr>
          </w:p>
        </w:tc>
        <w:tc>
          <w:tcPr>
            <w:tcW w:w="7840" w:type="dxa"/>
            <w:vAlign w:val="bottom"/>
            <w:gridSpan w:val="12"/>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40" w:type="dxa"/>
            <w:vAlign w:val="bottom"/>
            <w:gridSpan w:val="6"/>
          </w:tcPr>
          <w:p>
            <w:pPr>
              <w:spacing w:after="0" w:line="20" w:lineRule="exact"/>
              <w:rPr>
                <w:sz w:val="1"/>
                <w:szCs w:val="1"/>
                <w:color w:val="auto"/>
              </w:rPr>
            </w:pPr>
          </w:p>
        </w:tc>
        <w:tc>
          <w:tcPr>
            <w:tcW w:w="490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6"/>
        </w:trPr>
        <w:tc>
          <w:tcPr>
            <w:tcW w:w="2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1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14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6"/>
        </w:trPr>
        <w:tc>
          <w:tcPr>
            <w:tcW w:w="2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5"/>
              </w:rPr>
              <w:t>Other Information</w:t>
            </w:r>
          </w:p>
        </w:tc>
        <w:tc>
          <w:tcPr>
            <w:tcW w:w="2940" w:type="dxa"/>
            <w:vAlign w:val="bottom"/>
            <w:gridSpan w:val="6"/>
          </w:tcPr>
          <w:p>
            <w:pPr>
              <w:spacing w:after="0"/>
              <w:rPr>
                <w:sz w:val="24"/>
                <w:szCs w:val="24"/>
                <w:color w:val="auto"/>
              </w:rPr>
            </w:pPr>
          </w:p>
        </w:tc>
        <w:tc>
          <w:tcPr>
            <w:tcW w:w="4900" w:type="dxa"/>
            <w:vAlign w:val="bottom"/>
            <w:gridSpan w:val="6"/>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840" w:type="dxa"/>
            <w:vAlign w:val="bottom"/>
            <w:gridSpan w:val="1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6"/>
        </w:trPr>
        <w:tc>
          <w:tcPr>
            <w:tcW w:w="2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Exhibits</w:t>
            </w:r>
          </w:p>
        </w:tc>
        <w:tc>
          <w:tcPr>
            <w:tcW w:w="7840" w:type="dxa"/>
            <w:vAlign w:val="bottom"/>
            <w:gridSpan w:val="12"/>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8560" w:type="dxa"/>
            <w:vAlign w:val="bottom"/>
            <w:gridSpan w:val="1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6"/>
        </w:trPr>
        <w:tc>
          <w:tcPr>
            <w:tcW w:w="20" w:type="dxa"/>
            <w:vAlign w:val="bottom"/>
          </w:tcPr>
          <w:p>
            <w:pPr>
              <w:spacing w:after="0"/>
              <w:rPr>
                <w:sz w:val="24"/>
                <w:szCs w:val="24"/>
                <w:color w:val="auto"/>
              </w:rPr>
            </w:pPr>
          </w:p>
        </w:tc>
        <w:tc>
          <w:tcPr>
            <w:tcW w:w="1008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73"/>
        </w:trPr>
        <w:tc>
          <w:tcPr>
            <w:tcW w:w="20" w:type="dxa"/>
            <w:vAlign w:val="bottom"/>
            <w:tcBorders>
              <w:bottom w:val="single" w:sz="8" w:color="9A9A9A"/>
            </w:tcBorders>
          </w:tcPr>
          <w:p>
            <w:pPr>
              <w:spacing w:after="0"/>
              <w:rPr>
                <w:sz w:val="24"/>
                <w:szCs w:val="24"/>
                <w:color w:val="auto"/>
              </w:rPr>
            </w:pPr>
          </w:p>
        </w:tc>
        <w:tc>
          <w:tcPr>
            <w:tcW w:w="94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PART I.</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24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and in millions, except share amounts)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80" w:type="dxa"/>
            <w:vAlign w:val="bottom"/>
          </w:tcPr>
          <w:p>
            <w:pPr>
              <w:spacing w:after="0"/>
              <w:rPr>
                <w:sz w:val="18"/>
                <w:szCs w:val="18"/>
                <w:color w:val="auto"/>
              </w:rPr>
            </w:pPr>
          </w:p>
        </w:tc>
        <w:tc>
          <w:tcPr>
            <w:tcW w:w="168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196"/>
        </w:trPr>
        <w:tc>
          <w:tcPr>
            <w:tcW w:w="22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700" w:type="dxa"/>
            <w:vAlign w:val="bottom"/>
            <w:tcBorders>
              <w:top w:val="single" w:sz="8" w:color="CCEEFF"/>
            </w:tcBorders>
            <w:shd w:val="clear" w:color="auto" w:fill="CCEEFF"/>
          </w:tcPr>
          <w:p>
            <w:pPr>
              <w:ind w:left="26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861.8</w:t>
            </w:r>
          </w:p>
        </w:tc>
        <w:tc>
          <w:tcPr>
            <w:tcW w:w="0" w:type="dxa"/>
            <w:vAlign w:val="bottom"/>
          </w:tcPr>
          <w:p>
            <w:pPr>
              <w:spacing w:after="0"/>
              <w:rPr>
                <w:sz w:val="1"/>
                <w:szCs w:val="1"/>
                <w:color w:val="auto"/>
              </w:rPr>
            </w:pPr>
          </w:p>
        </w:tc>
      </w:tr>
      <w:tr>
        <w:trPr>
          <w:trHeight w:val="211"/>
        </w:trPr>
        <w:tc>
          <w:tcPr>
            <w:tcW w:w="74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Accounts and notes receivable, net</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1,079.4</w:t>
            </w:r>
          </w:p>
        </w:tc>
        <w:tc>
          <w:tcPr>
            <w:tcW w:w="0" w:type="dxa"/>
            <w:vAlign w:val="bottom"/>
          </w:tcPr>
          <w:p>
            <w:pPr>
              <w:spacing w:after="0"/>
              <w:rPr>
                <w:sz w:val="1"/>
                <w:szCs w:val="1"/>
                <w:color w:val="auto"/>
              </w:rPr>
            </w:pPr>
          </w:p>
        </w:tc>
      </w:tr>
      <w:tr>
        <w:trPr>
          <w:trHeight w:val="216"/>
        </w:trPr>
        <w:tc>
          <w:tcPr>
            <w:tcW w:w="74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 net</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2,709.3</w:t>
            </w:r>
          </w:p>
        </w:tc>
        <w:tc>
          <w:tcPr>
            <w:tcW w:w="0" w:type="dxa"/>
            <w:vAlign w:val="bottom"/>
          </w:tcPr>
          <w:p>
            <w:pPr>
              <w:spacing w:after="0"/>
              <w:rPr>
                <w:sz w:val="1"/>
                <w:szCs w:val="1"/>
                <w:color w:val="auto"/>
              </w:rPr>
            </w:pPr>
          </w:p>
        </w:tc>
      </w:tr>
      <w:tr>
        <w:trPr>
          <w:trHeight w:val="211"/>
        </w:trPr>
        <w:tc>
          <w:tcPr>
            <w:tcW w:w="742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579.2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545.6</w:t>
            </w:r>
          </w:p>
        </w:tc>
        <w:tc>
          <w:tcPr>
            <w:tcW w:w="0" w:type="dxa"/>
            <w:vAlign w:val="bottom"/>
          </w:tcPr>
          <w:p>
            <w:pPr>
              <w:spacing w:after="0"/>
              <w:rPr>
                <w:sz w:val="1"/>
                <w:szCs w:val="1"/>
                <w:color w:val="auto"/>
              </w:rPr>
            </w:pPr>
          </w:p>
        </w:tc>
      </w:tr>
      <w:tr>
        <w:trPr>
          <w:trHeight w:val="209"/>
        </w:trPr>
        <w:tc>
          <w:tcPr>
            <w:tcW w:w="74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5,196.1</w:t>
            </w:r>
          </w:p>
        </w:tc>
        <w:tc>
          <w:tcPr>
            <w:tcW w:w="0" w:type="dxa"/>
            <w:vAlign w:val="bottom"/>
          </w:tcPr>
          <w:p>
            <w:pPr>
              <w:spacing w:after="0"/>
              <w:rPr>
                <w:sz w:val="1"/>
                <w:szCs w:val="1"/>
                <w:color w:val="auto"/>
              </w:rPr>
            </w:pPr>
          </w:p>
        </w:tc>
      </w:tr>
      <w:tr>
        <w:trPr>
          <w:trHeight w:val="211"/>
        </w:trPr>
        <w:tc>
          <w:tcPr>
            <w:tcW w:w="7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1,996.2</w:t>
            </w:r>
          </w:p>
        </w:tc>
        <w:tc>
          <w:tcPr>
            <w:tcW w:w="0" w:type="dxa"/>
            <w:vAlign w:val="bottom"/>
          </w:tcPr>
          <w:p>
            <w:pPr>
              <w:spacing w:after="0"/>
              <w:rPr>
                <w:sz w:val="1"/>
                <w:szCs w:val="1"/>
                <w:color w:val="auto"/>
              </w:rPr>
            </w:pPr>
          </w:p>
        </w:tc>
      </w:tr>
      <w:tr>
        <w:trPr>
          <w:trHeight w:val="216"/>
        </w:trPr>
        <w:tc>
          <w:tcPr>
            <w:tcW w:w="7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lease assets</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167.3</w:t>
            </w:r>
          </w:p>
        </w:tc>
        <w:tc>
          <w:tcPr>
            <w:tcW w:w="0" w:type="dxa"/>
            <w:vAlign w:val="bottom"/>
          </w:tcPr>
          <w:p>
            <w:pPr>
              <w:spacing w:after="0"/>
              <w:rPr>
                <w:sz w:val="1"/>
                <w:szCs w:val="1"/>
                <w:color w:val="auto"/>
              </w:rPr>
            </w:pPr>
          </w:p>
        </w:tc>
      </w:tr>
      <w:tr>
        <w:trPr>
          <w:trHeight w:val="211"/>
        </w:trPr>
        <w:tc>
          <w:tcPr>
            <w:tcW w:w="7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Investments in affiliates</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609.9</w:t>
            </w:r>
          </w:p>
        </w:tc>
        <w:tc>
          <w:tcPr>
            <w:tcW w:w="0" w:type="dxa"/>
            <w:vAlign w:val="bottom"/>
          </w:tcPr>
          <w:p>
            <w:pPr>
              <w:spacing w:after="0"/>
              <w:rPr>
                <w:sz w:val="1"/>
                <w:szCs w:val="1"/>
                <w:color w:val="auto"/>
              </w:rPr>
            </w:pPr>
          </w:p>
        </w:tc>
      </w:tr>
      <w:tr>
        <w:trPr>
          <w:trHeight w:val="216"/>
        </w:trPr>
        <w:tc>
          <w:tcPr>
            <w:tcW w:w="7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905.5</w:t>
            </w:r>
          </w:p>
        </w:tc>
        <w:tc>
          <w:tcPr>
            <w:tcW w:w="0" w:type="dxa"/>
            <w:vAlign w:val="bottom"/>
          </w:tcPr>
          <w:p>
            <w:pPr>
              <w:spacing w:after="0"/>
              <w:rPr>
                <w:sz w:val="1"/>
                <w:szCs w:val="1"/>
                <w:color w:val="auto"/>
              </w:rPr>
            </w:pPr>
          </w:p>
        </w:tc>
      </w:tr>
      <w:tr>
        <w:trPr>
          <w:trHeight w:val="211"/>
        </w:trPr>
        <w:tc>
          <w:tcPr>
            <w:tcW w:w="7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481.0</w:t>
            </w:r>
          </w:p>
        </w:tc>
        <w:tc>
          <w:tcPr>
            <w:tcW w:w="0" w:type="dxa"/>
            <w:vAlign w:val="bottom"/>
          </w:tcPr>
          <w:p>
            <w:pPr>
              <w:spacing w:after="0"/>
              <w:rPr>
                <w:sz w:val="1"/>
                <w:szCs w:val="1"/>
                <w:color w:val="auto"/>
              </w:rPr>
            </w:pPr>
          </w:p>
        </w:tc>
      </w:tr>
      <w:tr>
        <w:trPr>
          <w:trHeight w:val="216"/>
        </w:trPr>
        <w:tc>
          <w:tcPr>
            <w:tcW w:w="7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673.0</w:t>
            </w:r>
          </w:p>
        </w:tc>
        <w:tc>
          <w:tcPr>
            <w:tcW w:w="0" w:type="dxa"/>
            <w:vAlign w:val="bottom"/>
          </w:tcPr>
          <w:p>
            <w:pPr>
              <w:spacing w:after="0"/>
              <w:rPr>
                <w:sz w:val="1"/>
                <w:szCs w:val="1"/>
                <w:color w:val="auto"/>
              </w:rPr>
            </w:pPr>
          </w:p>
        </w:tc>
      </w:tr>
      <w:tr>
        <w:trPr>
          <w:trHeight w:val="211"/>
        </w:trPr>
        <w:tc>
          <w:tcPr>
            <w:tcW w:w="74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1,890.6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1,898.8</w:t>
            </w:r>
          </w:p>
        </w:tc>
        <w:tc>
          <w:tcPr>
            <w:tcW w:w="0" w:type="dxa"/>
            <w:vAlign w:val="bottom"/>
          </w:tcPr>
          <w:p>
            <w:pPr>
              <w:spacing w:after="0"/>
              <w:rPr>
                <w:sz w:val="1"/>
                <w:szCs w:val="1"/>
                <w:color w:val="auto"/>
              </w:rPr>
            </w:pPr>
          </w:p>
        </w:tc>
      </w:tr>
      <w:tr>
        <w:trPr>
          <w:trHeight w:val="234"/>
        </w:trPr>
        <w:tc>
          <w:tcPr>
            <w:tcW w:w="742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12,040.9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11,927.8</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gridSpan w:val="3"/>
            <w:vMerge w:val="restart"/>
          </w:tcPr>
          <w:p>
            <w:pPr>
              <w:ind w:left="2000"/>
              <w:spacing w:after="0"/>
              <w:rPr>
                <w:sz w:val="20"/>
                <w:szCs w:val="20"/>
                <w:color w:val="auto"/>
              </w:rPr>
            </w:pPr>
            <w:r>
              <w:rPr>
                <w:rFonts w:ascii="Times New Roman" w:cs="Times New Roman" w:eastAsia="Times New Roman" w:hAnsi="Times New Roman"/>
                <w:sz w:val="16"/>
                <w:szCs w:val="16"/>
                <w:b w:val="1"/>
                <w:bCs w:val="1"/>
                <w:color w:val="auto"/>
              </w:rPr>
              <w:t>LIABILITIES, REDEEMABLE NONCONTROLLING INTERESTS AND</w:t>
            </w:r>
          </w:p>
        </w:tc>
        <w:tc>
          <w:tcPr>
            <w:tcW w:w="18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420" w:type="dxa"/>
            <w:vAlign w:val="bottom"/>
            <w:gridSpan w:val="3"/>
            <w:vMerge w:val="continue"/>
          </w:tcPr>
          <w:p>
            <w:pPr>
              <w:spacing w:after="0"/>
              <w:rPr>
                <w:sz w:val="13"/>
                <w:szCs w:val="13"/>
                <w:color w:val="auto"/>
              </w:rPr>
            </w:pPr>
          </w:p>
        </w:tc>
        <w:tc>
          <w:tcPr>
            <w:tcW w:w="186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w w:val="87"/>
              </w:rPr>
              <w:t>STOCKHOLDERS’ EQUITY</w:t>
            </w:r>
          </w:p>
        </w:tc>
        <w:tc>
          <w:tcPr>
            <w:tcW w:w="1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7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4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Borrowings due within one year</w:t>
            </w: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w:t>
            </w:r>
          </w:p>
        </w:tc>
        <w:tc>
          <w:tcPr>
            <w:tcW w:w="0" w:type="dxa"/>
            <w:vAlign w:val="bottom"/>
          </w:tcPr>
          <w:p>
            <w:pPr>
              <w:spacing w:after="0"/>
              <w:rPr>
                <w:sz w:val="1"/>
                <w:szCs w:val="1"/>
                <w:color w:val="auto"/>
              </w:rPr>
            </w:pPr>
          </w:p>
        </w:tc>
      </w:tr>
      <w:tr>
        <w:trPr>
          <w:trHeight w:val="216"/>
        </w:trPr>
        <w:tc>
          <w:tcPr>
            <w:tcW w:w="74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951.0</w:t>
            </w:r>
          </w:p>
        </w:tc>
        <w:tc>
          <w:tcPr>
            <w:tcW w:w="0" w:type="dxa"/>
            <w:vAlign w:val="bottom"/>
          </w:tcPr>
          <w:p>
            <w:pPr>
              <w:spacing w:after="0"/>
              <w:rPr>
                <w:sz w:val="1"/>
                <w:szCs w:val="1"/>
                <w:color w:val="auto"/>
              </w:rPr>
            </w:pPr>
          </w:p>
        </w:tc>
      </w:tr>
      <w:tr>
        <w:trPr>
          <w:trHeight w:val="211"/>
        </w:trPr>
        <w:tc>
          <w:tcPr>
            <w:tcW w:w="74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2,538.7</w:t>
            </w:r>
          </w:p>
        </w:tc>
        <w:tc>
          <w:tcPr>
            <w:tcW w:w="0" w:type="dxa"/>
            <w:vAlign w:val="bottom"/>
          </w:tcPr>
          <w:p>
            <w:pPr>
              <w:spacing w:after="0"/>
              <w:rPr>
                <w:sz w:val="1"/>
                <w:szCs w:val="1"/>
                <w:color w:val="auto"/>
              </w:rPr>
            </w:pPr>
          </w:p>
        </w:tc>
      </w:tr>
      <w:tr>
        <w:trPr>
          <w:trHeight w:val="216"/>
        </w:trPr>
        <w:tc>
          <w:tcPr>
            <w:tcW w:w="74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w:t>
            </w:r>
          </w:p>
        </w:tc>
        <w:tc>
          <w:tcPr>
            <w:tcW w:w="0" w:type="dxa"/>
            <w:vAlign w:val="bottom"/>
          </w:tcPr>
          <w:p>
            <w:pPr>
              <w:spacing w:after="0"/>
              <w:rPr>
                <w:sz w:val="1"/>
                <w:szCs w:val="1"/>
                <w:color w:val="auto"/>
              </w:rPr>
            </w:pPr>
          </w:p>
        </w:tc>
      </w:tr>
      <w:tr>
        <w:trPr>
          <w:trHeight w:val="204"/>
        </w:trPr>
        <w:tc>
          <w:tcPr>
            <w:tcW w:w="742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4,128.3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3,729.1</w:t>
            </w:r>
          </w:p>
        </w:tc>
        <w:tc>
          <w:tcPr>
            <w:tcW w:w="0" w:type="dxa"/>
            <w:vAlign w:val="bottom"/>
          </w:tcPr>
          <w:p>
            <w:pPr>
              <w:spacing w:after="0"/>
              <w:rPr>
                <w:sz w:val="1"/>
                <w:szCs w:val="1"/>
                <w:color w:val="auto"/>
              </w:rPr>
            </w:pPr>
          </w:p>
        </w:tc>
      </w:tr>
      <w:tr>
        <w:trPr>
          <w:trHeight w:val="216"/>
        </w:trPr>
        <w:tc>
          <w:tcPr>
            <w:tcW w:w="7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less current portion and debt issuance costs</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2,323.1</w:t>
            </w:r>
          </w:p>
        </w:tc>
        <w:tc>
          <w:tcPr>
            <w:tcW w:w="0" w:type="dxa"/>
            <w:vAlign w:val="bottom"/>
          </w:tcPr>
          <w:p>
            <w:pPr>
              <w:spacing w:after="0"/>
              <w:rPr>
                <w:sz w:val="1"/>
                <w:szCs w:val="1"/>
                <w:color w:val="auto"/>
              </w:rPr>
            </w:pPr>
          </w:p>
        </w:tc>
      </w:tr>
      <w:tr>
        <w:trPr>
          <w:trHeight w:val="211"/>
        </w:trPr>
        <w:tc>
          <w:tcPr>
            <w:tcW w:w="7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122.1</w:t>
            </w:r>
          </w:p>
        </w:tc>
        <w:tc>
          <w:tcPr>
            <w:tcW w:w="0" w:type="dxa"/>
            <w:vAlign w:val="bottom"/>
          </w:tcPr>
          <w:p>
            <w:pPr>
              <w:spacing w:after="0"/>
              <w:rPr>
                <w:sz w:val="1"/>
                <w:szCs w:val="1"/>
                <w:color w:val="auto"/>
              </w:rPr>
            </w:pPr>
          </w:p>
        </w:tc>
      </w:tr>
      <w:tr>
        <w:trPr>
          <w:trHeight w:val="216"/>
        </w:trPr>
        <w:tc>
          <w:tcPr>
            <w:tcW w:w="7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Pension and postretirement health care benefits</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169.2</w:t>
            </w:r>
          </w:p>
        </w:tc>
        <w:tc>
          <w:tcPr>
            <w:tcW w:w="0" w:type="dxa"/>
            <w:vAlign w:val="bottom"/>
          </w:tcPr>
          <w:p>
            <w:pPr>
              <w:spacing w:after="0"/>
              <w:rPr>
                <w:sz w:val="1"/>
                <w:szCs w:val="1"/>
                <w:color w:val="auto"/>
              </w:rPr>
            </w:pPr>
          </w:p>
        </w:tc>
      </w:tr>
      <w:tr>
        <w:trPr>
          <w:trHeight w:val="211"/>
        </w:trPr>
        <w:tc>
          <w:tcPr>
            <w:tcW w:w="7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w:t>
            </w:r>
          </w:p>
        </w:tc>
        <w:tc>
          <w:tcPr>
            <w:tcW w:w="0" w:type="dxa"/>
            <w:vAlign w:val="bottom"/>
          </w:tcPr>
          <w:p>
            <w:pPr>
              <w:spacing w:after="0"/>
              <w:rPr>
                <w:sz w:val="1"/>
                <w:szCs w:val="1"/>
                <w:color w:val="auto"/>
              </w:rPr>
            </w:pPr>
          </w:p>
        </w:tc>
      </w:tr>
      <w:tr>
        <w:trPr>
          <w:trHeight w:val="216"/>
        </w:trPr>
        <w:tc>
          <w:tcPr>
            <w:tcW w:w="7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885.1</w:t>
            </w:r>
          </w:p>
        </w:tc>
        <w:tc>
          <w:tcPr>
            <w:tcW w:w="0" w:type="dxa"/>
            <w:vAlign w:val="bottom"/>
          </w:tcPr>
          <w:p>
            <w:pPr>
              <w:spacing w:after="0"/>
              <w:rPr>
                <w:sz w:val="1"/>
                <w:szCs w:val="1"/>
                <w:color w:val="auto"/>
              </w:rPr>
            </w:pPr>
          </w:p>
        </w:tc>
      </w:tr>
      <w:tr>
        <w:trPr>
          <w:trHeight w:val="204"/>
        </w:trPr>
        <w:tc>
          <w:tcPr>
            <w:tcW w:w="742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7,448.9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7,355.1</w:t>
            </w:r>
          </w:p>
        </w:tc>
        <w:tc>
          <w:tcPr>
            <w:tcW w:w="0" w:type="dxa"/>
            <w:vAlign w:val="bottom"/>
          </w:tcPr>
          <w:p>
            <w:pPr>
              <w:spacing w:after="0"/>
              <w:rPr>
                <w:sz w:val="1"/>
                <w:szCs w:val="1"/>
                <w:color w:val="auto"/>
              </w:rPr>
            </w:pPr>
          </w:p>
        </w:tc>
      </w:tr>
      <w:tr>
        <w:trPr>
          <w:trHeight w:val="176"/>
        </w:trPr>
        <w:tc>
          <w:tcPr>
            <w:tcW w:w="742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color w:val="auto"/>
              </w:rPr>
              <w:t>Commitments and contingencies (</w:t>
            </w:r>
            <w:r>
              <w:rPr>
                <w:rFonts w:ascii="Times New Roman" w:cs="Times New Roman" w:eastAsia="Times New Roman" w:hAnsi="Times New Roman"/>
                <w:sz w:val="16"/>
                <w:szCs w:val="16"/>
                <w:color w:val="0000FF"/>
              </w:rPr>
              <w:t>Note 15</w:t>
            </w: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2220" w:type="dxa"/>
            <w:vAlign w:val="bottom"/>
            <w:shd w:val="clear" w:color="auto" w:fill="CCEE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47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1"/>
        </w:trPr>
        <w:tc>
          <w:tcPr>
            <w:tcW w:w="7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Redeemable noncontrolling interests</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299.2</w:t>
            </w:r>
          </w:p>
        </w:tc>
        <w:tc>
          <w:tcPr>
            <w:tcW w:w="0" w:type="dxa"/>
            <w:vAlign w:val="bottom"/>
          </w:tcPr>
          <w:p>
            <w:pPr>
              <w:spacing w:after="0"/>
              <w:rPr>
                <w:sz w:val="1"/>
                <w:szCs w:val="1"/>
                <w:color w:val="auto"/>
              </w:rPr>
            </w:pPr>
          </w:p>
        </w:tc>
      </w:tr>
      <w:tr>
        <w:trPr>
          <w:trHeight w:val="216"/>
        </w:trPr>
        <w:tc>
          <w:tcPr>
            <w:tcW w:w="7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4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Preferred stock; $0.01 par value, 1,000,000 shares authorized, no shares issued or outstanding in 2026 and 2025</w:t>
            </w:r>
          </w:p>
        </w:tc>
        <w:tc>
          <w:tcPr>
            <w:tcW w:w="26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7420" w:type="dxa"/>
            <w:vAlign w:val="bottom"/>
            <w:gridSpan w:val="3"/>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Common stock; $0.01 par value, 150,000,000 shares authorized, 72,403,830 and 72,629,310 shares issued and</w:t>
            </w:r>
          </w:p>
        </w:tc>
        <w:tc>
          <w:tcPr>
            <w:tcW w:w="26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13"/>
        </w:trPr>
        <w:tc>
          <w:tcPr>
            <w:tcW w:w="74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outstanding at March 31, 2026 and December 31, 2025, respectively</w:t>
            </w:r>
          </w:p>
        </w:tc>
        <w:tc>
          <w:tcPr>
            <w:tcW w:w="26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4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16"/>
        </w:trPr>
        <w:tc>
          <w:tcPr>
            <w:tcW w:w="74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6,047.2</w:t>
            </w:r>
          </w:p>
        </w:tc>
        <w:tc>
          <w:tcPr>
            <w:tcW w:w="0" w:type="dxa"/>
            <w:vAlign w:val="bottom"/>
          </w:tcPr>
          <w:p>
            <w:pPr>
              <w:spacing w:after="0"/>
              <w:rPr>
                <w:sz w:val="1"/>
                <w:szCs w:val="1"/>
                <w:color w:val="auto"/>
              </w:rPr>
            </w:pPr>
          </w:p>
        </w:tc>
      </w:tr>
      <w:tr>
        <w:trPr>
          <w:trHeight w:val="211"/>
        </w:trPr>
        <w:tc>
          <w:tcPr>
            <w:tcW w:w="742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(1,736.4)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(1,774.9)</w:t>
            </w:r>
          </w:p>
        </w:tc>
        <w:tc>
          <w:tcPr>
            <w:tcW w:w="0" w:type="dxa"/>
            <w:vAlign w:val="bottom"/>
          </w:tcPr>
          <w:p>
            <w:pPr>
              <w:spacing w:after="0"/>
              <w:rPr>
                <w:sz w:val="1"/>
                <w:szCs w:val="1"/>
                <w:color w:val="auto"/>
              </w:rPr>
            </w:pPr>
          </w:p>
        </w:tc>
      </w:tr>
      <w:tr>
        <w:trPr>
          <w:trHeight w:val="207"/>
        </w:trPr>
        <w:tc>
          <w:tcPr>
            <w:tcW w:w="74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4,296.5</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4,273.5</w:t>
            </w:r>
          </w:p>
        </w:tc>
        <w:tc>
          <w:tcPr>
            <w:tcW w:w="0" w:type="dxa"/>
            <w:vAlign w:val="bottom"/>
          </w:tcPr>
          <w:p>
            <w:pPr>
              <w:spacing w:after="0"/>
              <w:rPr>
                <w:sz w:val="1"/>
                <w:szCs w:val="1"/>
                <w:color w:val="auto"/>
              </w:rPr>
            </w:pPr>
          </w:p>
        </w:tc>
      </w:tr>
      <w:tr>
        <w:trPr>
          <w:trHeight w:val="209"/>
        </w:trPr>
        <w:tc>
          <w:tcPr>
            <w:tcW w:w="7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Total liabilities, redeemable noncontrolling interests and stockholders’ equity</w:t>
            </w: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12,040.9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11,927.8</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7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9"/>
        </w:trPr>
        <w:tc>
          <w:tcPr>
            <w:tcW w:w="2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6360" w:type="dxa"/>
            <w:vAlign w:val="bottom"/>
          </w:tcPr>
          <w:p>
            <w:pPr>
              <w:ind w:left="3720"/>
              <w:spacing w:after="0"/>
              <w:rPr>
                <w:sz w:val="20"/>
                <w:szCs w:val="20"/>
                <w:color w:val="auto"/>
              </w:rPr>
            </w:pPr>
            <w:r>
              <w:rPr>
                <w:rFonts w:ascii="Times New Roman" w:cs="Times New Roman" w:eastAsia="Times New Roman" w:hAnsi="Times New Roman"/>
                <w:sz w:val="18"/>
                <w:szCs w:val="18"/>
                <w:b w:val="1"/>
                <w:bCs w:val="1"/>
                <w:color w:val="auto"/>
              </w:rPr>
              <w:t>AGCO CORPORATION</w:t>
            </w: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60" w:type="dxa"/>
            <w:vAlign w:val="bottom"/>
            <w:gridSpan w:val="2"/>
          </w:tcPr>
          <w:p>
            <w:pPr>
              <w:jc w:val="center"/>
              <w:ind w:left="1171"/>
              <w:spacing w:after="0"/>
              <w:rPr>
                <w:sz w:val="20"/>
                <w:szCs w:val="20"/>
                <w:color w:val="auto"/>
              </w:rPr>
            </w:pPr>
            <w:r>
              <w:rPr>
                <w:rFonts w:ascii="Times New Roman" w:cs="Times New Roman" w:eastAsia="Times New Roman" w:hAnsi="Times New Roman"/>
                <w:sz w:val="18"/>
                <w:szCs w:val="18"/>
                <w:b w:val="1"/>
                <w:bCs w:val="1"/>
                <w:color w:val="auto"/>
                <w:w w:val="97"/>
              </w:rPr>
              <w:t>CONDENSED CONSOLIDATED STATEMENTS OF OPERATIONS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360" w:type="dxa"/>
            <w:vAlign w:val="bottom"/>
          </w:tcPr>
          <w:p>
            <w:pPr>
              <w:jc w:val="center"/>
              <w:ind w:left="2271"/>
              <w:spacing w:after="0"/>
              <w:rPr>
                <w:sz w:val="20"/>
                <w:szCs w:val="20"/>
                <w:color w:val="auto"/>
              </w:rPr>
            </w:pPr>
            <w:r>
              <w:rPr>
                <w:rFonts w:ascii="Times New Roman" w:cs="Times New Roman" w:eastAsia="Times New Roman" w:hAnsi="Times New Roman"/>
                <w:sz w:val="18"/>
                <w:szCs w:val="18"/>
                <w:b w:val="1"/>
                <w:bCs w:val="1"/>
                <w:color w:val="auto"/>
                <w:w w:val="98"/>
              </w:rPr>
              <w:t>(unaudited and in millions, except per share data)</w:t>
            </w:r>
          </w:p>
        </w:tc>
        <w:tc>
          <w:tcPr>
            <w:tcW w:w="1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3600" w:type="dxa"/>
            <w:vAlign w:val="bottom"/>
            <w:tcBorders>
              <w:bottom w:val="single" w:sz="8" w:color="auto"/>
            </w:tcBorders>
            <w:gridSpan w:val="5"/>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636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100" w:type="dxa"/>
            <w:vAlign w:val="bottom"/>
            <w:shd w:val="clear" w:color="auto" w:fill="CCEEFF"/>
          </w:tcPr>
          <w:p>
            <w:pPr>
              <w:jc w:val="right"/>
              <w:ind w:right="91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2,050.5</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1,761.5</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520.6</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Engineering expenses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Impairment charges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Restructuring and business optimization expenses</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Interest expense, net</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0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Other expense, net</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 and equity in net earnings of affiliates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0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Income tax provision</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equity in net earnings of affiliates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0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Equity in net earnings of affiliates</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0"/>
                <w:szCs w:val="20"/>
                <w:color w:val="auto"/>
              </w:rPr>
            </w:pPr>
          </w:p>
        </w:tc>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AGCO Corporation</w:t>
            </w:r>
          </w:p>
        </w:tc>
        <w:tc>
          <w:tcPr>
            <w:tcW w:w="1100" w:type="dxa"/>
            <w:vAlign w:val="bottom"/>
            <w:tcBorders>
              <w:bottom w:val="single" w:sz="8" w:color="auto"/>
            </w:tcBorders>
            <w:shd w:val="clear" w:color="auto" w:fill="CCEEFF"/>
          </w:tcPr>
          <w:p>
            <w:pPr>
              <w:jc w:val="right"/>
              <w:ind w:right="91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common share attributable to AGCO Corporation:</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7600" w:type="dxa"/>
            <w:vAlign w:val="bottom"/>
            <w:gridSpan w:val="2"/>
            <w:vMerge w:val="continue"/>
          </w:tcPr>
          <w:p>
            <w:pPr>
              <w:spacing w:after="0"/>
              <w:rPr>
                <w:sz w:val="15"/>
                <w:szCs w:val="15"/>
                <w:color w:val="auto"/>
              </w:rPr>
            </w:pPr>
          </w:p>
        </w:tc>
        <w:tc>
          <w:tcPr>
            <w:tcW w:w="1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Basic</w:t>
            </w:r>
          </w:p>
        </w:tc>
        <w:tc>
          <w:tcPr>
            <w:tcW w:w="1100" w:type="dxa"/>
            <w:vAlign w:val="bottom"/>
            <w:tcBorders>
              <w:bottom w:val="single" w:sz="8" w:color="auto"/>
            </w:tcBorders>
            <w:shd w:val="clear" w:color="auto" w:fill="CCEEFF"/>
          </w:tcPr>
          <w:p>
            <w:pPr>
              <w:jc w:val="right"/>
              <w:ind w:right="91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Borders>
              <w:top w:val="single" w:sz="8" w:color="CCEEFF"/>
            </w:tcBorders>
            <w:gridSpan w:val="2"/>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7600" w:type="dxa"/>
            <w:vAlign w:val="bottom"/>
            <w:gridSpan w:val="2"/>
          </w:tcPr>
          <w:p>
            <w:pPr>
              <w:ind w:left="300"/>
              <w:spacing w:after="0" w:line="200" w:lineRule="exact"/>
              <w:rPr>
                <w:sz w:val="20"/>
                <w:szCs w:val="20"/>
                <w:color w:val="auto"/>
              </w:rPr>
            </w:pPr>
            <w:r>
              <w:rPr>
                <w:rFonts w:ascii="Times New Roman" w:cs="Times New Roman" w:eastAsia="Times New Roman" w:hAnsi="Times New Roman"/>
                <w:sz w:val="18"/>
                <w:szCs w:val="18"/>
                <w:color w:val="auto"/>
              </w:rPr>
              <w:t>Diluted</w:t>
            </w:r>
          </w:p>
        </w:tc>
        <w:tc>
          <w:tcPr>
            <w:tcW w:w="1100" w:type="dxa"/>
            <w:vAlign w:val="bottom"/>
            <w:tcBorders>
              <w:bottom w:val="single" w:sz="8" w:color="auto"/>
            </w:tcBorders>
          </w:tcPr>
          <w:p>
            <w:pPr>
              <w:jc w:val="right"/>
              <w:ind w:right="911"/>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0.76</w:t>
            </w:r>
          </w:p>
        </w:tc>
        <w:tc>
          <w:tcPr>
            <w:tcW w:w="80" w:type="dxa"/>
            <w:vAlign w:val="bottom"/>
          </w:tcPr>
          <w:p>
            <w:pPr>
              <w:spacing w:after="0"/>
              <w:rPr>
                <w:sz w:val="17"/>
                <w:szCs w:val="17"/>
                <w:color w:val="auto"/>
              </w:rPr>
            </w:pPr>
          </w:p>
        </w:tc>
        <w:tc>
          <w:tcPr>
            <w:tcW w:w="420" w:type="dxa"/>
            <w:vAlign w:val="bottom"/>
            <w:tcBorders>
              <w:bottom w:val="single" w:sz="8" w:color="auto"/>
            </w:tcBorders>
          </w:tcPr>
          <w:p>
            <w:pPr>
              <w:jc w:val="right"/>
              <w:ind w:right="211"/>
              <w:spacing w:after="0" w:line="200"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63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0"/>
                <w:szCs w:val="20"/>
                <w:color w:val="auto"/>
              </w:rPr>
            </w:pPr>
          </w:p>
        </w:tc>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declared and paid per common share</w:t>
            </w:r>
          </w:p>
        </w:tc>
        <w:tc>
          <w:tcPr>
            <w:tcW w:w="1100" w:type="dxa"/>
            <w:vAlign w:val="bottom"/>
            <w:tcBorders>
              <w:bottom w:val="single" w:sz="8" w:color="auto"/>
            </w:tcBorders>
            <w:shd w:val="clear" w:color="auto" w:fill="CCEEFF"/>
          </w:tcPr>
          <w:p>
            <w:pPr>
              <w:jc w:val="right"/>
              <w:ind w:right="91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and common equivalent shares outstanding:</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7600" w:type="dxa"/>
            <w:vAlign w:val="bottom"/>
            <w:gridSpan w:val="2"/>
            <w:vMerge w:val="continue"/>
          </w:tcPr>
          <w:p>
            <w:pPr>
              <w:spacing w:after="0"/>
              <w:rPr>
                <w:sz w:val="15"/>
                <w:szCs w:val="15"/>
                <w:color w:val="auto"/>
              </w:rPr>
            </w:pPr>
          </w:p>
        </w:tc>
        <w:tc>
          <w:tcPr>
            <w:tcW w:w="1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Basic</w:t>
            </w:r>
          </w:p>
        </w:tc>
        <w:tc>
          <w:tcPr>
            <w:tcW w:w="11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Borders>
              <w:top w:val="single" w:sz="8" w:color="CCEEFF"/>
            </w:tcBorders>
            <w:gridSpan w:val="2"/>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7600" w:type="dxa"/>
            <w:vAlign w:val="bottom"/>
            <w:gridSpan w:val="2"/>
          </w:tcPr>
          <w:p>
            <w:pPr>
              <w:ind w:left="300"/>
              <w:spacing w:after="0" w:line="200" w:lineRule="exact"/>
              <w:rPr>
                <w:sz w:val="20"/>
                <w:szCs w:val="20"/>
                <w:color w:val="auto"/>
              </w:rPr>
            </w:pPr>
            <w:r>
              <w:rPr>
                <w:rFonts w:ascii="Times New Roman" w:cs="Times New Roman" w:eastAsia="Times New Roman" w:hAnsi="Times New Roman"/>
                <w:sz w:val="18"/>
                <w:szCs w:val="18"/>
                <w:color w:val="auto"/>
              </w:rPr>
              <w:t>Diluted</w:t>
            </w:r>
          </w:p>
        </w:tc>
        <w:tc>
          <w:tcPr>
            <w:tcW w:w="1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72.7</w:t>
            </w:r>
          </w:p>
        </w:tc>
        <w:tc>
          <w:tcPr>
            <w:tcW w:w="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06"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759"/>
        </w:trPr>
        <w:tc>
          <w:tcPr>
            <w:tcW w:w="1260" w:type="dxa"/>
            <w:vAlign w:val="bottom"/>
            <w:tcBorders>
              <w:top w:val="single" w:sz="8" w:color="0000FF"/>
            </w:tcBorders>
          </w:tcPr>
          <w:p>
            <w:pPr>
              <w:spacing w:after="0"/>
              <w:rPr>
                <w:sz w:val="24"/>
                <w:szCs w:val="24"/>
                <w:color w:val="auto"/>
              </w:rPr>
            </w:pPr>
          </w:p>
        </w:tc>
        <w:tc>
          <w:tcPr>
            <w:tcW w:w="3240" w:type="dxa"/>
            <w:vAlign w:val="bottom"/>
          </w:tcPr>
          <w:p>
            <w:pPr>
              <w:spacing w:after="0"/>
              <w:rPr>
                <w:sz w:val="24"/>
                <w:szCs w:val="24"/>
                <w:color w:val="auto"/>
              </w:rPr>
            </w:pPr>
          </w:p>
        </w:tc>
        <w:tc>
          <w:tcPr>
            <w:tcW w:w="4460" w:type="dxa"/>
            <w:vAlign w:val="bottom"/>
            <w:gridSpan w:val="2"/>
          </w:tcPr>
          <w:p>
            <w:pPr>
              <w:jc w:val="center"/>
              <w:ind w:right="2131"/>
              <w:spacing w:after="0"/>
              <w:rPr>
                <w:sz w:val="20"/>
                <w:szCs w:val="20"/>
                <w:color w:val="auto"/>
              </w:rPr>
            </w:pPr>
            <w:r>
              <w:rPr>
                <w:rFonts w:ascii="Times New Roman" w:cs="Times New Roman" w:eastAsia="Times New Roman" w:hAnsi="Times New Roman"/>
                <w:sz w:val="18"/>
                <w:szCs w:val="18"/>
                <w:b w:val="1"/>
                <w:bCs w:val="1"/>
                <w:color w:val="auto"/>
                <w:w w:val="98"/>
              </w:rPr>
              <w:t>AGCO CORPORATION</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13"/>
        </w:trPr>
        <w:tc>
          <w:tcPr>
            <w:tcW w:w="1260" w:type="dxa"/>
            <w:vAlign w:val="bottom"/>
          </w:tcPr>
          <w:p>
            <w:pPr>
              <w:spacing w:after="0"/>
              <w:rPr>
                <w:sz w:val="18"/>
                <w:szCs w:val="18"/>
                <w:color w:val="auto"/>
              </w:rPr>
            </w:pPr>
          </w:p>
        </w:tc>
        <w:tc>
          <w:tcPr>
            <w:tcW w:w="7700" w:type="dxa"/>
            <w:vAlign w:val="bottom"/>
            <w:gridSpan w:val="3"/>
          </w:tcPr>
          <w:p>
            <w:pPr>
              <w:jc w:val="center"/>
              <w:ind w:left="951"/>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COMPREHENSIVE INCOME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34"/>
        </w:trPr>
        <w:tc>
          <w:tcPr>
            <w:tcW w:w="12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460" w:type="dxa"/>
            <w:vAlign w:val="bottom"/>
            <w:gridSpan w:val="2"/>
          </w:tcPr>
          <w:p>
            <w:pPr>
              <w:jc w:val="center"/>
              <w:ind w:right="2111"/>
              <w:spacing w:after="0"/>
              <w:rPr>
                <w:sz w:val="20"/>
                <w:szCs w:val="20"/>
                <w:color w:val="auto"/>
              </w:rPr>
            </w:pPr>
            <w:r>
              <w:rPr>
                <w:rFonts w:ascii="Times New Roman" w:cs="Times New Roman" w:eastAsia="Times New Roman" w:hAnsi="Times New Roman"/>
                <w:sz w:val="18"/>
                <w:szCs w:val="18"/>
                <w:b w:val="1"/>
                <w:bCs w:val="1"/>
                <w:color w:val="auto"/>
                <w:w w:val="98"/>
              </w:rPr>
              <w:t>(unaudited and in millions)</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506"/>
        </w:trPr>
        <w:tc>
          <w:tcPr>
            <w:tcW w:w="12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140" w:type="dxa"/>
            <w:vAlign w:val="bottom"/>
            <w:tcBorders>
              <w:bottom w:val="single" w:sz="8" w:color="auto"/>
            </w:tcBorders>
            <w:gridSpan w:val="4"/>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480" w:type="dxa"/>
            <w:vAlign w:val="bottom"/>
            <w:tcBorders>
              <w:bottom w:val="single" w:sz="8" w:color="auto"/>
            </w:tcBorders>
          </w:tcPr>
          <w:p>
            <w:pPr>
              <w:spacing w:after="0"/>
              <w:rPr>
                <w:sz w:val="24"/>
                <w:szCs w:val="24"/>
                <w:color w:val="auto"/>
              </w:rPr>
            </w:pPr>
          </w:p>
        </w:tc>
      </w:tr>
      <w:tr>
        <w:trPr>
          <w:trHeight w:val="220"/>
        </w:trPr>
        <w:tc>
          <w:tcPr>
            <w:tcW w:w="1260" w:type="dxa"/>
            <w:vAlign w:val="bottom"/>
            <w:tcBorders>
              <w:bottom w:val="single" w:sz="8" w:color="CCEEFF"/>
            </w:tcBorders>
          </w:tcPr>
          <w:p>
            <w:pPr>
              <w:spacing w:after="0"/>
              <w:rPr>
                <w:sz w:val="19"/>
                <w:szCs w:val="19"/>
                <w:color w:val="auto"/>
              </w:rPr>
            </w:pPr>
          </w:p>
        </w:tc>
        <w:tc>
          <w:tcPr>
            <w:tcW w:w="3240" w:type="dxa"/>
            <w:vAlign w:val="bottom"/>
            <w:tcBorders>
              <w:bottom w:val="single" w:sz="8" w:color="CCEEFF"/>
            </w:tcBorders>
          </w:tcPr>
          <w:p>
            <w:pPr>
              <w:spacing w:after="0"/>
              <w:rPr>
                <w:sz w:val="19"/>
                <w:szCs w:val="19"/>
                <w:color w:val="auto"/>
              </w:rPr>
            </w:pPr>
          </w:p>
        </w:tc>
        <w:tc>
          <w:tcPr>
            <w:tcW w:w="3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19"/>
                <w:szCs w:val="19"/>
                <w:color w:val="auto"/>
              </w:rPr>
            </w:pPr>
          </w:p>
        </w:tc>
      </w:tr>
      <w:tr>
        <w:trPr>
          <w:trHeight w:val="220"/>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3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9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7"/>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27"/>
        </w:trPr>
        <w:tc>
          <w:tcPr>
            <w:tcW w:w="4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r>
      <w:tr>
        <w:trPr>
          <w:trHeight w:val="227"/>
        </w:trPr>
        <w:tc>
          <w:tcPr>
            <w:tcW w:w="4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Defined pension and postretirement benefit plans, net of tax</w:t>
            </w:r>
          </w:p>
        </w:tc>
        <w:tc>
          <w:tcPr>
            <w:tcW w:w="3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7"/>
        </w:trPr>
        <w:tc>
          <w:tcPr>
            <w:tcW w:w="4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gains and losses on derivatives, net of tax</w:t>
            </w:r>
          </w:p>
        </w:tc>
        <w:tc>
          <w:tcPr>
            <w:tcW w:w="312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0"/>
        </w:trPr>
        <w:tc>
          <w:tcPr>
            <w:tcW w:w="4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w:t>
            </w:r>
          </w:p>
        </w:tc>
      </w:tr>
      <w:tr>
        <w:trPr>
          <w:trHeight w:val="220"/>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r>
      <w:tr>
        <w:trPr>
          <w:trHeight w:val="227"/>
        </w:trPr>
        <w:tc>
          <w:tcPr>
            <w:tcW w:w="4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interests</w:t>
            </w:r>
          </w:p>
        </w:tc>
        <w:tc>
          <w:tcPr>
            <w:tcW w:w="3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45"/>
        </w:trPr>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AGCO Corporation</w:t>
            </w:r>
          </w:p>
        </w:tc>
        <w:tc>
          <w:tcPr>
            <w:tcW w:w="3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13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09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759"/>
        </w:trPr>
        <w:tc>
          <w:tcPr>
            <w:tcW w:w="1260" w:type="dxa"/>
            <w:vAlign w:val="bottom"/>
            <w:tcBorders>
              <w:top w:val="single" w:sz="8" w:color="0000FF"/>
            </w:tcBorders>
          </w:tcPr>
          <w:p>
            <w:pPr>
              <w:spacing w:after="0"/>
              <w:rPr>
                <w:sz w:val="24"/>
                <w:szCs w:val="24"/>
                <w:color w:val="auto"/>
              </w:rPr>
            </w:pPr>
          </w:p>
        </w:tc>
        <w:tc>
          <w:tcPr>
            <w:tcW w:w="6360" w:type="dxa"/>
            <w:vAlign w:val="bottom"/>
          </w:tcPr>
          <w:p>
            <w:pPr>
              <w:jc w:val="center"/>
              <w:ind w:left="2271"/>
              <w:spacing w:after="0"/>
              <w:rPr>
                <w:sz w:val="20"/>
                <w:szCs w:val="20"/>
                <w:color w:val="auto"/>
              </w:rPr>
            </w:pPr>
            <w:r>
              <w:rPr>
                <w:rFonts w:ascii="Times New Roman" w:cs="Times New Roman" w:eastAsia="Times New Roman" w:hAnsi="Times New Roman"/>
                <w:sz w:val="18"/>
                <w:szCs w:val="18"/>
                <w:b w:val="1"/>
                <w:bCs w:val="1"/>
                <w:color w:val="auto"/>
                <w:w w:val="98"/>
              </w:rPr>
              <w:t>AGCO CORPORATION</w:t>
            </w: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3"/>
        </w:trPr>
        <w:tc>
          <w:tcPr>
            <w:tcW w:w="1260" w:type="dxa"/>
            <w:vAlign w:val="bottom"/>
          </w:tcPr>
          <w:p>
            <w:pPr>
              <w:spacing w:after="0"/>
              <w:rPr>
                <w:sz w:val="18"/>
                <w:szCs w:val="18"/>
                <w:color w:val="auto"/>
              </w:rPr>
            </w:pPr>
          </w:p>
        </w:tc>
        <w:tc>
          <w:tcPr>
            <w:tcW w:w="7500" w:type="dxa"/>
            <w:vAlign w:val="bottom"/>
            <w:gridSpan w:val="2"/>
          </w:tcPr>
          <w:p>
            <w:pPr>
              <w:jc w:val="center"/>
              <w:ind w:left="1151"/>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CASH FLOWS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4"/>
        </w:trPr>
        <w:tc>
          <w:tcPr>
            <w:tcW w:w="1260" w:type="dxa"/>
            <w:vAlign w:val="bottom"/>
          </w:tcPr>
          <w:p>
            <w:pPr>
              <w:spacing w:after="0"/>
              <w:rPr>
                <w:sz w:val="20"/>
                <w:szCs w:val="20"/>
                <w:color w:val="auto"/>
              </w:rPr>
            </w:pPr>
          </w:p>
        </w:tc>
        <w:tc>
          <w:tcPr>
            <w:tcW w:w="6360" w:type="dxa"/>
            <w:vAlign w:val="bottom"/>
          </w:tcPr>
          <w:p>
            <w:pPr>
              <w:jc w:val="center"/>
              <w:ind w:left="2291"/>
              <w:spacing w:after="0"/>
              <w:rPr>
                <w:sz w:val="20"/>
                <w:szCs w:val="20"/>
                <w:color w:val="auto"/>
              </w:rPr>
            </w:pPr>
            <w:r>
              <w:rPr>
                <w:rFonts w:ascii="Times New Roman" w:cs="Times New Roman" w:eastAsia="Times New Roman" w:hAnsi="Times New Roman"/>
                <w:sz w:val="18"/>
                <w:szCs w:val="18"/>
                <w:b w:val="1"/>
                <w:bCs w:val="1"/>
                <w:color w:val="auto"/>
                <w:w w:val="98"/>
              </w:rPr>
              <w:t>(unaudited and in millions)</w:t>
            </w:r>
          </w:p>
        </w:tc>
        <w:tc>
          <w:tcPr>
            <w:tcW w:w="1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346"/>
        </w:trPr>
        <w:tc>
          <w:tcPr>
            <w:tcW w:w="126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30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60" w:type="dxa"/>
            <w:vAlign w:val="bottom"/>
            <w:tcBorders>
              <w:bottom w:val="single" w:sz="8" w:color="auto"/>
            </w:tcBorders>
          </w:tcPr>
          <w:p>
            <w:pPr>
              <w:spacing w:after="0"/>
              <w:rPr>
                <w:sz w:val="24"/>
                <w:szCs w:val="24"/>
                <w:color w:val="auto"/>
              </w:rPr>
            </w:pPr>
          </w:p>
        </w:tc>
      </w:tr>
      <w:tr>
        <w:trPr>
          <w:trHeight w:val="220"/>
        </w:trPr>
        <w:tc>
          <w:tcPr>
            <w:tcW w:w="1260" w:type="dxa"/>
            <w:vAlign w:val="bottom"/>
            <w:tcBorders>
              <w:bottom w:val="single" w:sz="8" w:color="CCEEFF"/>
            </w:tcBorders>
          </w:tcPr>
          <w:p>
            <w:pPr>
              <w:spacing w:after="0"/>
              <w:rPr>
                <w:sz w:val="19"/>
                <w:szCs w:val="19"/>
                <w:color w:val="auto"/>
              </w:rPr>
            </w:pPr>
          </w:p>
        </w:tc>
        <w:tc>
          <w:tcPr>
            <w:tcW w:w="636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9"/>
                <w:szCs w:val="19"/>
                <w:color w:val="auto"/>
              </w:rPr>
            </w:pPr>
          </w:p>
        </w:tc>
      </w:tr>
      <w:tr>
        <w:trPr>
          <w:trHeight w:val="207"/>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27"/>
        </w:trPr>
        <w:tc>
          <w:tcPr>
            <w:tcW w:w="7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Pr>
          <w:p>
            <w:pPr>
              <w:jc w:val="right"/>
              <w:ind w:right="93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19"/>
                <w:szCs w:val="19"/>
                <w:color w:val="auto"/>
              </w:rPr>
            </w:pPr>
          </w:p>
        </w:tc>
        <w:tc>
          <w:tcPr>
            <w:tcW w:w="1200" w:type="dxa"/>
            <w:vAlign w:val="bottom"/>
          </w:tcPr>
          <w:p>
            <w:pPr>
              <w:jc w:val="right"/>
              <w:ind w:right="101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7"/>
        </w:trPr>
        <w:tc>
          <w:tcPr>
            <w:tcW w:w="7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27"/>
        </w:trPr>
        <w:tc>
          <w:tcPr>
            <w:tcW w:w="7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r>
      <w:tr>
        <w:trPr>
          <w:trHeight w:val="227"/>
        </w:trPr>
        <w:tc>
          <w:tcPr>
            <w:tcW w:w="7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7"/>
        </w:trPr>
        <w:tc>
          <w:tcPr>
            <w:tcW w:w="7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7"/>
        </w:trPr>
        <w:tc>
          <w:tcPr>
            <w:tcW w:w="7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Impairment charges</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7"/>
        </w:trPr>
        <w:tc>
          <w:tcPr>
            <w:tcW w:w="7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Equity in net earnings of affiliates, net of cash received</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7"/>
        </w:trPr>
        <w:tc>
          <w:tcPr>
            <w:tcW w:w="7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27"/>
        </w:trPr>
        <w:tc>
          <w:tcPr>
            <w:tcW w:w="7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7"/>
        </w:trPr>
        <w:tc>
          <w:tcPr>
            <w:tcW w:w="7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27"/>
        </w:trPr>
        <w:tc>
          <w:tcPr>
            <w:tcW w:w="76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Accounts and notes receivable, net</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27"/>
        </w:trPr>
        <w:tc>
          <w:tcPr>
            <w:tcW w:w="76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Inventories, net</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(149.4)</w:t>
            </w:r>
          </w:p>
        </w:tc>
      </w:tr>
      <w:tr>
        <w:trPr>
          <w:trHeight w:val="227"/>
        </w:trPr>
        <w:tc>
          <w:tcPr>
            <w:tcW w:w="76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7"/>
        </w:trPr>
        <w:tc>
          <w:tcPr>
            <w:tcW w:w="76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Accounts payable</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r>
      <w:tr>
        <w:trPr>
          <w:trHeight w:val="227"/>
        </w:trPr>
        <w:tc>
          <w:tcPr>
            <w:tcW w:w="76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Accrued expenses</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(384.9)</w:t>
            </w:r>
          </w:p>
        </w:tc>
      </w:tr>
      <w:tr>
        <w:trPr>
          <w:trHeight w:val="227"/>
        </w:trPr>
        <w:tc>
          <w:tcPr>
            <w:tcW w:w="76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 current and noncurrent liabilities</w:t>
            </w:r>
          </w:p>
        </w:tc>
        <w:tc>
          <w:tcPr>
            <w:tcW w:w="1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20"/>
        </w:trPr>
        <w:tc>
          <w:tcPr>
            <w:tcW w:w="762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Total adjustments</w:t>
            </w: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(220.9)</w:t>
            </w:r>
          </w:p>
        </w:tc>
      </w:tr>
      <w:tr>
        <w:trPr>
          <w:trHeight w:val="220"/>
        </w:trPr>
        <w:tc>
          <w:tcPr>
            <w:tcW w:w="76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(212.2)</w:t>
            </w:r>
          </w:p>
        </w:tc>
      </w:tr>
      <w:tr>
        <w:trPr>
          <w:trHeight w:val="207"/>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27"/>
        </w:trPr>
        <w:tc>
          <w:tcPr>
            <w:tcW w:w="7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27"/>
        </w:trPr>
        <w:tc>
          <w:tcPr>
            <w:tcW w:w="7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7"/>
        </w:trPr>
        <w:tc>
          <w:tcPr>
            <w:tcW w:w="7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Investments in unconsolidated affiliates, net</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67"/>
        </w:trPr>
        <w:tc>
          <w:tcPr>
            <w:tcW w:w="76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0"/>
        </w:trPr>
        <w:tc>
          <w:tcPr>
            <w:tcW w:w="76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07"/>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27"/>
        </w:trPr>
        <w:tc>
          <w:tcPr>
            <w:tcW w:w="7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indebtedness</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531.2</w:t>
            </w:r>
          </w:p>
        </w:tc>
      </w:tr>
      <w:tr>
        <w:trPr>
          <w:trHeight w:val="227"/>
        </w:trPr>
        <w:tc>
          <w:tcPr>
            <w:tcW w:w="7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Repayments of indebtedness</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(297.0)</w:t>
            </w:r>
          </w:p>
        </w:tc>
      </w:tr>
      <w:tr>
        <w:trPr>
          <w:trHeight w:val="227"/>
        </w:trPr>
        <w:tc>
          <w:tcPr>
            <w:tcW w:w="7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 of dividends to stockholders</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27"/>
        </w:trPr>
        <w:tc>
          <w:tcPr>
            <w:tcW w:w="76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Payment of minimum tax withholdings on stock compensation</w:t>
            </w: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0"/>
        </w:trPr>
        <w:tc>
          <w:tcPr>
            <w:tcW w:w="76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w:t>
            </w:r>
          </w:p>
        </w:tc>
      </w:tr>
      <w:tr>
        <w:trPr>
          <w:trHeight w:val="220"/>
        </w:trPr>
        <w:tc>
          <w:tcPr>
            <w:tcW w:w="7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cash, cash equivalents and restricted cash</w:t>
            </w: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0"/>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27"/>
        </w:trPr>
        <w:tc>
          <w:tcPr>
            <w:tcW w:w="7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861.8</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612.7</w:t>
            </w:r>
          </w:p>
        </w:tc>
      </w:tr>
      <w:tr>
        <w:trPr>
          <w:trHeight w:val="245"/>
        </w:trPr>
        <w:tc>
          <w:tcPr>
            <w:tcW w:w="7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140" w:type="dxa"/>
            <w:vAlign w:val="bottom"/>
            <w:tcBorders>
              <w:bottom w:val="single" w:sz="8" w:color="auto"/>
            </w:tcBorders>
            <w:shd w:val="clear" w:color="auto" w:fill="CCEEFF"/>
          </w:tcPr>
          <w:p>
            <w:pPr>
              <w:jc w:val="right"/>
              <w:ind w:right="93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514.9</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01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w:t>
            </w: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63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248" w:lineRule="exact"/>
        <w:rPr>
          <w:sz w:val="20"/>
          <w:szCs w:val="20"/>
          <w:color w:val="auto"/>
        </w:rPr>
      </w:pPr>
    </w:p>
    <w:p>
      <w:pPr>
        <w:ind w:right="60" w:firstLine="174"/>
        <w:spacing w:after="0" w:line="268" w:lineRule="auto"/>
        <w:rPr>
          <w:sz w:val="20"/>
          <w:szCs w:val="20"/>
          <w:color w:val="auto"/>
        </w:rPr>
      </w:pPr>
      <w:r>
        <w:rPr>
          <w:rFonts w:ascii="Times New Roman" w:cs="Times New Roman" w:eastAsia="Times New Roman" w:hAnsi="Times New Roman"/>
          <w:sz w:val="17"/>
          <w:szCs w:val="17"/>
          <w:color w:val="auto"/>
        </w:rPr>
        <w:t>The condensed consolidated financial statements of AGCO Corporation and its subsidiaries (the “Company” or “AGCO”) included herein have been prepared in accordance with United States generally accepted accounting principles (“U.S. GAAP”) for interim financial information and the rules and regulations of the Securities and Exchange Commission. In the opinion of management, the accompanying unaudited condensed consolidated financial statements reflect all adjustments, which are of a normal recurring nature, necessary to present fairly the Company’s financial position, results of operations, comprehensive income and cash flows at the dates and for the periods presented. These condensed consolidated financial statements should be read in conjunction with the Company’s audited consolidated financial statements and the notes thereto included in the Company’s Annual Report on Form 10-K for the year ended December 31, 2025. Results for interim periods are not necessarily indicative of the results for the year. Certain prior-period amounts have been reclassified in the accompanying condensed consolidated financial statements and notes thereto in order to conform to the current period presentation.</w:t>
      </w:r>
    </w:p>
    <w:p>
      <w:pPr>
        <w:spacing w:after="0" w:line="199" w:lineRule="exact"/>
        <w:rPr>
          <w:sz w:val="20"/>
          <w:szCs w:val="20"/>
          <w:color w:val="auto"/>
        </w:rPr>
      </w:pPr>
    </w:p>
    <w:p>
      <w:pPr>
        <w:ind w:right="40" w:firstLine="174"/>
        <w:spacing w:after="0" w:line="250" w:lineRule="auto"/>
        <w:rPr>
          <w:sz w:val="20"/>
          <w:szCs w:val="20"/>
          <w:color w:val="auto"/>
        </w:rPr>
      </w:pPr>
      <w:r>
        <w:rPr>
          <w:rFonts w:ascii="Times New Roman" w:cs="Times New Roman" w:eastAsia="Times New Roman" w:hAnsi="Times New Roman"/>
          <w:sz w:val="18"/>
          <w:szCs w:val="18"/>
          <w:color w:val="auto"/>
        </w:rPr>
        <w:t>The Company has a wholly-owned subsidiary in Turkey that distributes agricultural equipment and replacement parts. On the basis of available data related to inflation indices and as a result of the devaluation of the Turkish lira relative to the United States dollar, the Turkish economy was determined to be highly inflationary during 2022. A highly inflationary economy is one where the cumulative inflation rate for the three years preceding the beginning of the reporting period, including interim reporting periods, is in excess of 100 percent. For subsidiaries operating in highly inflationary economies, the United States dollar is the functional currency. Remeasurement adjustments for financial statements in highly inflationary economies and other transactional exchange gains and losses are reported in “Other expense, net” within the Company's Condensed Consolidated Statements of Operations. For the three months ended and as of March 31, 2026, the Company's wholly-owned subsidiary in Turkey had net sales of approximately $27.5 million and total assets of approximately 4.9 billion Turkish lira (or approximately $109.2 million). The monetary assets and liabilities denominated in the Turkish lira were approximately 3.6 billion Turkish lira (or approximately $81.5 million) and approximately 2.3 billion Turkish lira (or approximately $51.4 million), respectively, as of March 31, 2026. The monetary assets and liabilities were remeasured into United States dollars based on exchange rates as of March 31, 2026.</w:t>
      </w:r>
    </w:p>
    <w:p>
      <w:pPr>
        <w:spacing w:after="0" w:line="214" w:lineRule="exact"/>
        <w:rPr>
          <w:sz w:val="20"/>
          <w:szCs w:val="20"/>
          <w:color w:val="auto"/>
        </w:rPr>
      </w:pPr>
    </w:p>
    <w:p>
      <w:pPr>
        <w:ind w:firstLine="174"/>
        <w:spacing w:after="0" w:line="249" w:lineRule="auto"/>
        <w:rPr>
          <w:sz w:val="20"/>
          <w:szCs w:val="20"/>
          <w:color w:val="auto"/>
        </w:rPr>
      </w:pPr>
      <w:r>
        <w:rPr>
          <w:rFonts w:ascii="Times New Roman" w:cs="Times New Roman" w:eastAsia="Times New Roman" w:hAnsi="Times New Roman"/>
          <w:sz w:val="18"/>
          <w:szCs w:val="18"/>
          <w:color w:val="auto"/>
        </w:rPr>
        <w:t>The Company has a wholly-owned subsidiary in Argentina that assembles and distributes agricultural equipment and replacement parts. In recent years, the Argentine government has substantially limited the ability of companies to transfer funds out of Argentina. Argentina's economy was determined to be highly inflationary during 2018. For the three months ended and as of March 31, 2026, the Company's wholly-owned subsidiary in Argentina had net sales of approximately $27.5 million and total assets of approximately 312.2 billion pesos (or approximately $224.8 million). The monetary assets of the Company's operations in Argentina denominated in pesos at the official government rate were approximately 83.0 billion pesos (or approximately $59.8 million), inclusive of approximately 13.4 billion pesos (or approximately $9.7 million) in cash and cash equivalents, as of March 31, 2026. The monetary liabilities of the Company's operations in Argentina denominated in pesos at the official government rate were approximately 40.2 billion pesos (or approximately $28.9 million) as of March 31, 2026. The monetary assets and liabilities were remeasured into United States dollar based on exchange rates as of March 31, 2026. The Company's finance joint venture in Argentina, AGCO Capital Argentina S.A. (“AGCO Capital”), had net monetary assets denominated in pesos at the official government rate of approximately 7.5 billion pesos (or approximately $5.4 million) as of March 31, 2026. All gains and losses resulting from AGCO Capital's remeasurement of its monetary assets and liabilities are reported in “Equity in net earnings of affiliates” within the Company's Condensed Consolidated Statements of Operations.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to be Adopted</w:t>
      </w:r>
    </w:p>
    <w:p>
      <w:pPr>
        <w:spacing w:after="0" w:line="250" w:lineRule="exact"/>
        <w:rPr>
          <w:sz w:val="20"/>
          <w:szCs w:val="20"/>
          <w:color w:val="auto"/>
        </w:rPr>
      </w:pPr>
    </w:p>
    <w:p>
      <w:pPr>
        <w:ind w:right="60" w:firstLine="178"/>
        <w:spacing w:after="0" w:line="270" w:lineRule="auto"/>
        <w:rPr>
          <w:sz w:val="20"/>
          <w:szCs w:val="20"/>
          <w:color w:val="auto"/>
        </w:rPr>
      </w:pPr>
      <w:r>
        <w:rPr>
          <w:rFonts w:ascii="Times New Roman" w:cs="Times New Roman" w:eastAsia="Times New Roman" w:hAnsi="Times New Roman"/>
          <w:sz w:val="17"/>
          <w:szCs w:val="17"/>
          <w:color w:val="auto"/>
        </w:rPr>
        <w:t>In November 2024, the FASB issued ASU 2024-03, “Income Statement – Reporting Comprehensive Income – Expense Disaggregation Disclosures (Subtopic 220-40): Disaggregation of Income Statement Expenses,” which requires disaggregation of certain expense captions into specified natural expense categories in the disclosures within the notes to the consolidated financial statements. In addition, the guidance requires disclosure of selling expenses and its definition. The amendments in the ASU are effective for annual reporting periods beginning after December 15, 2026 and interim reporting periods beginning after December 15, 2027, with early adoption permitted. The ASU will be applied prospectively with an option to simultaneously apply retrospectively. The updated standard will impact only our disclosures, with no impact to our financial condition or results of operations.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ACCOUNTS RECEIVABLE SALES AGREEMENTS</w:t>
      </w:r>
    </w:p>
    <w:p>
      <w:pPr>
        <w:spacing w:after="0" w:line="248" w:lineRule="exact"/>
        <w:rPr>
          <w:sz w:val="20"/>
          <w:szCs w:val="20"/>
          <w:color w:val="auto"/>
        </w:rPr>
      </w:pPr>
    </w:p>
    <w:p>
      <w:pPr>
        <w:ind w:right="100" w:firstLine="174"/>
        <w:spacing w:after="0" w:line="257" w:lineRule="auto"/>
        <w:rPr>
          <w:sz w:val="20"/>
          <w:szCs w:val="20"/>
          <w:color w:val="auto"/>
        </w:rPr>
      </w:pPr>
      <w:r>
        <w:rPr>
          <w:rFonts w:ascii="Times New Roman" w:cs="Times New Roman" w:eastAsia="Times New Roman" w:hAnsi="Times New Roman"/>
          <w:sz w:val="18"/>
          <w:szCs w:val="18"/>
          <w:color w:val="auto"/>
        </w:rPr>
        <w:t>The Company has accounts receivable sales agreements that permit the sale, on an ongoing basis, of a majority of its wholesale receivables in North America, Europe and Brazil to its U.S., Canadian, European and Brazilian finance joint ventures. The cash received from receivables sold under these accounts receivable sales agreements that remain outstanding as of March 31, 2026 and December 31, 2025 was approximately $1.8 billion and $2.1 billion, respectively.</w:t>
      </w:r>
    </w:p>
    <w:p>
      <w:pPr>
        <w:spacing w:after="0" w:line="206" w:lineRule="exact"/>
        <w:rPr>
          <w:sz w:val="20"/>
          <w:szCs w:val="20"/>
          <w:color w:val="auto"/>
        </w:rPr>
      </w:pPr>
    </w:p>
    <w:p>
      <w:pPr>
        <w:ind w:right="40" w:firstLine="178"/>
        <w:spacing w:after="0" w:line="252" w:lineRule="auto"/>
        <w:rPr>
          <w:sz w:val="20"/>
          <w:szCs w:val="20"/>
          <w:color w:val="auto"/>
        </w:rPr>
      </w:pPr>
      <w:r>
        <w:rPr>
          <w:rFonts w:ascii="Times New Roman" w:cs="Times New Roman" w:eastAsia="Times New Roman" w:hAnsi="Times New Roman"/>
          <w:sz w:val="18"/>
          <w:szCs w:val="18"/>
          <w:color w:val="auto"/>
        </w:rPr>
        <w:t>Under the terms of the accounts receivable sales agreements in the U.S., Canada, Europe and Brazil, the Company pays an annual fee related to the servicing of the receivables sold. The Company also pays the respective AGCO Finance entities a subsidized interest payment with respect to the accounts receivable sales agreements, calculated based upon the interest rate charged by Rabobank to its affiliate, and such affiliate then lends to the AGCO Finance entities plus an agreed-upon margin. These fees are reflected within losses on the sales of receivables included within “Other expense, net” in the Company’s Condensed Consolidated Statements of Operations. The Company does not service the receivables after the sale occurs and does not maintain any direct retained interest in the receivables. The Company reviewed its accounting for the accounts receivable sales agreements and determined that receivables sold under these agreements should be accounted for as off-balance sheet transactions.</w:t>
      </w: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 addition, the Company sells certain trade receivables under factoring arrangements to other financial institutions around the world. The cash received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trade receivables sold under factoring arrangements that remain outstanding as of March 31, 2026 and December 31, 2025 was approximately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$262.7 million and $270.5 million, respectively. Under these arrangements, the Company is required to continue to service the sold receivables at market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rates. The Company does not maintain any direct retained interest in the receivables. The Company reviewed its accounting for the accounts receivable sales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agreements and determined that receivables sold under these agreements should be accounted for as off-balance sheet transactions.</w:t>
      </w:r>
    </w:p>
    <w:p>
      <w:pPr>
        <w:spacing w:after="0" w:line="227" w:lineRule="exact"/>
        <w:rPr>
          <w:sz w:val="20"/>
          <w:szCs w:val="20"/>
          <w:color w:val="auto"/>
        </w:rPr>
      </w:pPr>
    </w:p>
    <w:p>
      <w:pPr>
        <w:ind w:right="460" w:firstLine="178"/>
        <w:spacing w:after="0" w:line="261" w:lineRule="auto"/>
        <w:rPr>
          <w:sz w:val="20"/>
          <w:szCs w:val="20"/>
          <w:color w:val="auto"/>
        </w:rPr>
      </w:pPr>
      <w:r>
        <w:rPr>
          <w:rFonts w:ascii="Times New Roman" w:cs="Times New Roman" w:eastAsia="Times New Roman" w:hAnsi="Times New Roman"/>
          <w:sz w:val="18"/>
          <w:szCs w:val="18"/>
          <w:color w:val="auto"/>
        </w:rPr>
        <w:t>Losses on sales of receivables associated with the accounts receivable sales agreements discussed above, reflected within “Other expense, net” in the Company’s Condensed Consolidated Statements of Operations, were approximately $18.6 million and $18.9 million during the three months ended March 31, 2026 and 2025, respectively.</w:t>
      </w:r>
    </w:p>
    <w:p>
      <w:pPr>
        <w:spacing w:after="0" w:line="204" w:lineRule="exact"/>
        <w:rPr>
          <w:sz w:val="20"/>
          <w:szCs w:val="20"/>
          <w:color w:val="auto"/>
        </w:rPr>
      </w:pPr>
    </w:p>
    <w:p>
      <w:pPr>
        <w:ind w:firstLine="174"/>
        <w:spacing w:after="0" w:line="261" w:lineRule="auto"/>
        <w:rPr>
          <w:sz w:val="20"/>
          <w:szCs w:val="20"/>
          <w:color w:val="auto"/>
        </w:rPr>
      </w:pPr>
      <w:r>
        <w:rPr>
          <w:rFonts w:ascii="Times New Roman" w:cs="Times New Roman" w:eastAsia="Times New Roman" w:hAnsi="Times New Roman"/>
          <w:sz w:val="18"/>
          <w:szCs w:val="18"/>
          <w:color w:val="auto"/>
        </w:rPr>
        <w:t>The Company’s finance joint ventures in Europe, Brazil and Australia also provide wholesale financing directly to the Company’s dealers. As of March 31, 2026 and December 31, 2025, these finance joint ventures had approximately $112.8 million and $107.5 million, respectively, of outstanding accounts receivable associated with these arrangements.</w:t>
      </w:r>
    </w:p>
    <w:p>
      <w:pPr>
        <w:spacing w:after="0" w:line="204" w:lineRule="exact"/>
        <w:rPr>
          <w:sz w:val="20"/>
          <w:szCs w:val="20"/>
          <w:color w:val="auto"/>
        </w:rPr>
      </w:pPr>
    </w:p>
    <w:p>
      <w:pPr>
        <w:ind w:right="120" w:firstLine="178"/>
        <w:spacing w:after="0" w:line="252" w:lineRule="auto"/>
        <w:rPr>
          <w:sz w:val="20"/>
          <w:szCs w:val="20"/>
          <w:color w:val="auto"/>
        </w:rPr>
      </w:pPr>
      <w:r>
        <w:rPr>
          <w:rFonts w:ascii="Times New Roman" w:cs="Times New Roman" w:eastAsia="Times New Roman" w:hAnsi="Times New Roman"/>
          <w:sz w:val="18"/>
          <w:szCs w:val="18"/>
          <w:color w:val="auto"/>
        </w:rPr>
        <w:t>In certain foreign countries, the Company invoices its finance joint ventures directly and the finance joint ventures retain a form of title to the goods delivered to dealers until the dealer makes payment so that the finance joint ventures can recover the goods in the event of dealer or end customer default on payment. This occurs as the laws of some foreign countries do not provide for a seller’s retention of a security interest in goods in the same manner as established in the United States Uniform Commercial Code. The only right the finance joint ventures retain with respect to the title are those enabling recovery of the goods in the event of customer default on payment. The dealer or distributor may not return equipment or replacement parts to the Company while its contract with the finance joint venture is in force, and can only return the equipment to the retail finance joint venture with penalties that would generally not make it economically beneficial to do so.</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GOODWILL AND OTHER INTANGIBLE ASSETS</w:t>
      </w:r>
    </w:p>
    <w:p>
      <w:pPr>
        <w:spacing w:after="0" w:line="2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Changes in the carrying amount of goodwill during the three months ended March 31, 2026 are summarized as follows (in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120" w:type="dxa"/>
            <w:vAlign w:val="bottom"/>
          </w:tcPr>
          <w:p>
            <w:pPr>
              <w:spacing w:after="0"/>
              <w:rPr>
                <w:sz w:val="17"/>
                <w:szCs w:val="17"/>
                <w:color w:val="auto"/>
              </w:rPr>
            </w:pP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Latin America</w:t>
            </w:r>
          </w:p>
        </w:tc>
        <w:tc>
          <w:tcPr>
            <w:tcW w:w="12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Europe/Middle</w:t>
            </w:r>
          </w:p>
        </w:tc>
        <w:tc>
          <w:tcPr>
            <w:tcW w:w="1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Asia/Pacific/Africa</w:t>
            </w:r>
          </w:p>
        </w:tc>
        <w:tc>
          <w:tcPr>
            <w:tcW w:w="160" w:type="dxa"/>
            <w:vAlign w:val="bottom"/>
          </w:tcPr>
          <w:p>
            <w:pPr>
              <w:spacing w:after="0"/>
              <w:rPr>
                <w:sz w:val="17"/>
                <w:szCs w:val="17"/>
                <w:color w:val="auto"/>
              </w:rPr>
            </w:pPr>
          </w:p>
        </w:tc>
        <w:tc>
          <w:tcPr>
            <w:tcW w:w="1260" w:type="dxa"/>
            <w:vAlign w:val="bottom"/>
            <w:vMerge w:val="restart"/>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0"/>
        </w:trPr>
        <w:tc>
          <w:tcPr>
            <w:tcW w:w="3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East</w:t>
            </w:r>
          </w:p>
        </w:tc>
        <w:tc>
          <w:tcPr>
            <w:tcW w:w="156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1,031.6</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1,898.8</w:t>
            </w:r>
          </w:p>
        </w:tc>
        <w:tc>
          <w:tcPr>
            <w:tcW w:w="0" w:type="dxa"/>
            <w:vAlign w:val="bottom"/>
          </w:tcPr>
          <w:p>
            <w:pPr>
              <w:spacing w:after="0"/>
              <w:rPr>
                <w:sz w:val="1"/>
                <w:szCs w:val="1"/>
                <w:color w:val="auto"/>
              </w:rPr>
            </w:pPr>
          </w:p>
        </w:tc>
      </w:tr>
      <w:tr>
        <w:trPr>
          <w:trHeight w:val="227"/>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45"/>
        </w:trPr>
        <w:tc>
          <w:tcPr>
            <w:tcW w:w="3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1,890.6</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right="400" w:firstLine="178"/>
        <w:spacing w:after="0" w:line="277" w:lineRule="auto"/>
        <w:rPr>
          <w:sz w:val="20"/>
          <w:szCs w:val="20"/>
          <w:color w:val="auto"/>
        </w:rPr>
      </w:pPr>
      <w:r>
        <w:rPr>
          <w:rFonts w:ascii="Times New Roman" w:cs="Times New Roman" w:eastAsia="Times New Roman" w:hAnsi="Times New Roman"/>
          <w:sz w:val="18"/>
          <w:szCs w:val="18"/>
          <w:color w:val="auto"/>
        </w:rPr>
        <w:t>Goodwill is tested for impairment on an annual basis and more often if indications of impairment exist. The Company conducts its annual impairment analyses as of October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each year.</w:t>
      </w:r>
    </w:p>
    <w:p>
      <w:pPr>
        <w:spacing w:after="0" w:line="1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Changes in the carrying amount of acquired intangible assets during the three months ended March 31, 2026 are summarized as follows (in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Gross carrying amounts:</w:t>
            </w:r>
          </w:p>
        </w:tc>
        <w:tc>
          <w:tcPr>
            <w:tcW w:w="15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Trademarks and</w:t>
            </w: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Customer</w:t>
            </w:r>
          </w:p>
        </w:tc>
        <w:tc>
          <w:tcPr>
            <w:tcW w:w="18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Patents and</w:t>
            </w:r>
          </w:p>
        </w:tc>
        <w:tc>
          <w:tcPr>
            <w:tcW w:w="300" w:type="dxa"/>
            <w:vAlign w:val="bottom"/>
          </w:tcPr>
          <w:p>
            <w:pPr>
              <w:spacing w:after="0"/>
              <w:rPr>
                <w:sz w:val="17"/>
                <w:szCs w:val="17"/>
                <w:color w:val="auto"/>
              </w:rPr>
            </w:pPr>
          </w:p>
        </w:tc>
        <w:tc>
          <w:tcPr>
            <w:tcW w:w="12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300" w:type="dxa"/>
            <w:vAlign w:val="bottom"/>
          </w:tcPr>
          <w:p>
            <w:pPr>
              <w:spacing w:after="0"/>
              <w:rPr>
                <w:sz w:val="17"/>
                <w:szCs w:val="17"/>
                <w:color w:val="auto"/>
              </w:rPr>
            </w:pPr>
          </w:p>
        </w:tc>
        <w:tc>
          <w:tcPr>
            <w:tcW w:w="1120" w:type="dxa"/>
            <w:vAlign w:val="bottom"/>
            <w:vMerge w:val="restart"/>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7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60"/>
              <w:spacing w:after="0" w:line="200" w:lineRule="exact"/>
              <w:rPr>
                <w:sz w:val="20"/>
                <w:szCs w:val="20"/>
                <w:color w:val="auto"/>
              </w:rPr>
            </w:pPr>
            <w:r>
              <w:rPr>
                <w:rFonts w:ascii="Times New Roman" w:cs="Times New Roman" w:eastAsia="Times New Roman" w:hAnsi="Times New Roman"/>
                <w:sz w:val="18"/>
                <w:szCs w:val="18"/>
                <w:b w:val="1"/>
                <w:bCs w:val="1"/>
                <w:color w:val="auto"/>
                <w:w w:val="96"/>
              </w:rPr>
              <w:t>Trade Names</w:t>
            </w:r>
          </w:p>
        </w:tc>
        <w:tc>
          <w:tcPr>
            <w:tcW w:w="140" w:type="dxa"/>
            <w:vAlign w:val="bottom"/>
          </w:tcPr>
          <w:p>
            <w:pPr>
              <w:spacing w:after="0"/>
              <w:rPr>
                <w:sz w:val="17"/>
                <w:szCs w:val="17"/>
                <w:color w:val="auto"/>
              </w:rPr>
            </w:pPr>
          </w:p>
        </w:tc>
        <w:tc>
          <w:tcPr>
            <w:tcW w:w="1380" w:type="dxa"/>
            <w:vAlign w:val="bottom"/>
            <w:gridSpan w:val="2"/>
          </w:tcPr>
          <w:p>
            <w:pPr>
              <w:jc w:val="center"/>
              <w:ind w:right="240"/>
              <w:spacing w:after="0" w:line="200" w:lineRule="exact"/>
              <w:rPr>
                <w:sz w:val="20"/>
                <w:szCs w:val="20"/>
                <w:color w:val="auto"/>
              </w:rPr>
            </w:pPr>
            <w:r>
              <w:rPr>
                <w:rFonts w:ascii="Times New Roman" w:cs="Times New Roman" w:eastAsia="Times New Roman" w:hAnsi="Times New Roman"/>
                <w:sz w:val="18"/>
                <w:szCs w:val="18"/>
                <w:b w:val="1"/>
                <w:bCs w:val="1"/>
                <w:color w:val="auto"/>
                <w:w w:val="98"/>
              </w:rPr>
              <w:t>Relationships</w:t>
            </w:r>
          </w:p>
        </w:tc>
        <w:tc>
          <w:tcPr>
            <w:tcW w:w="180" w:type="dxa"/>
            <w:vAlign w:val="bottom"/>
          </w:tcPr>
          <w:p>
            <w:pPr>
              <w:spacing w:after="0"/>
              <w:rPr>
                <w:sz w:val="17"/>
                <w:szCs w:val="17"/>
                <w:color w:val="auto"/>
              </w:rPr>
            </w:pPr>
          </w:p>
        </w:tc>
        <w:tc>
          <w:tcPr>
            <w:tcW w:w="1320" w:type="dxa"/>
            <w:vAlign w:val="bottom"/>
            <w:gridSpan w:val="2"/>
          </w:tcPr>
          <w:p>
            <w:pPr>
              <w:ind w:left="100"/>
              <w:spacing w:after="0" w:line="200" w:lineRule="exact"/>
              <w:rPr>
                <w:sz w:val="20"/>
                <w:szCs w:val="20"/>
                <w:color w:val="auto"/>
              </w:rPr>
            </w:pPr>
            <w:r>
              <w:rPr>
                <w:rFonts w:ascii="Times New Roman" w:cs="Times New Roman" w:eastAsia="Times New Roman" w:hAnsi="Times New Roman"/>
                <w:sz w:val="18"/>
                <w:szCs w:val="18"/>
                <w:b w:val="1"/>
                <w:bCs w:val="1"/>
                <w:color w:val="auto"/>
              </w:rPr>
              <w:t>Technology</w:t>
            </w:r>
          </w:p>
        </w:tc>
        <w:tc>
          <w:tcPr>
            <w:tcW w:w="30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top w:val="single" w:sz="8" w:color="auto"/>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627.4</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15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Trademarks and</w:t>
            </w:r>
          </w:p>
        </w:tc>
        <w:tc>
          <w:tcPr>
            <w:tcW w:w="1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Customer</w:t>
            </w:r>
          </w:p>
        </w:tc>
        <w:tc>
          <w:tcPr>
            <w:tcW w:w="180" w:type="dxa"/>
            <w:vAlign w:val="bottom"/>
          </w:tcPr>
          <w:p>
            <w:pPr>
              <w:spacing w:after="0"/>
              <w:rPr>
                <w:sz w:val="18"/>
                <w:szCs w:val="18"/>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Patents and</w:t>
            </w:r>
          </w:p>
        </w:tc>
        <w:tc>
          <w:tcPr>
            <w:tcW w:w="300" w:type="dxa"/>
            <w:vAlign w:val="bottom"/>
          </w:tcPr>
          <w:p>
            <w:pPr>
              <w:spacing w:after="0"/>
              <w:rPr>
                <w:sz w:val="18"/>
                <w:szCs w:val="18"/>
                <w:color w:val="auto"/>
              </w:rPr>
            </w:pPr>
          </w:p>
        </w:tc>
        <w:tc>
          <w:tcPr>
            <w:tcW w:w="1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320" w:type="dxa"/>
            <w:vAlign w:val="bottom"/>
          </w:tcPr>
          <w:p>
            <w:pPr>
              <w:spacing w:after="0"/>
              <w:rPr>
                <w:sz w:val="18"/>
                <w:szCs w:val="18"/>
                <w:color w:val="auto"/>
              </w:rPr>
            </w:pPr>
          </w:p>
        </w:tc>
        <w:tc>
          <w:tcPr>
            <w:tcW w:w="1100" w:type="dxa"/>
            <w:vAlign w:val="bottom"/>
            <w:vMerge w:val="restart"/>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7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w w:val="96"/>
              </w:rPr>
              <w:t>Trade Names</w:t>
            </w:r>
          </w:p>
        </w:tc>
        <w:tc>
          <w:tcPr>
            <w:tcW w:w="160" w:type="dxa"/>
            <w:vAlign w:val="bottom"/>
          </w:tcPr>
          <w:p>
            <w:pPr>
              <w:spacing w:after="0"/>
              <w:rPr>
                <w:sz w:val="16"/>
                <w:szCs w:val="16"/>
                <w:color w:val="auto"/>
              </w:rPr>
            </w:pPr>
          </w:p>
        </w:tc>
        <w:tc>
          <w:tcPr>
            <w:tcW w:w="1360" w:type="dxa"/>
            <w:vAlign w:val="bottom"/>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Relationships</w:t>
            </w:r>
          </w:p>
        </w:tc>
        <w:tc>
          <w:tcPr>
            <w:tcW w:w="180" w:type="dxa"/>
            <w:vAlign w:val="bottom"/>
          </w:tcPr>
          <w:p>
            <w:pPr>
              <w:spacing w:after="0"/>
              <w:rPr>
                <w:sz w:val="16"/>
                <w:szCs w:val="16"/>
                <w:color w:val="auto"/>
              </w:rPr>
            </w:pPr>
          </w:p>
        </w:tc>
        <w:tc>
          <w:tcPr>
            <w:tcW w:w="1340" w:type="dxa"/>
            <w:vAlign w:val="bottom"/>
            <w:gridSpan w:val="2"/>
          </w:tcPr>
          <w:p>
            <w:pPr>
              <w:ind w:left="100"/>
              <w:spacing w:after="0" w:line="194" w:lineRule="exact"/>
              <w:rPr>
                <w:sz w:val="20"/>
                <w:szCs w:val="20"/>
                <w:color w:val="auto"/>
              </w:rPr>
            </w:pPr>
            <w:r>
              <w:rPr>
                <w:rFonts w:ascii="Times New Roman" w:cs="Times New Roman" w:eastAsia="Times New Roman" w:hAnsi="Times New Roman"/>
                <w:sz w:val="18"/>
                <w:szCs w:val="18"/>
                <w:b w:val="1"/>
                <w:bCs w:val="1"/>
                <w:color w:val="auto"/>
              </w:rPr>
              <w:t>Technology</w:t>
            </w:r>
          </w:p>
        </w:tc>
        <w:tc>
          <w:tcPr>
            <w:tcW w:w="3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top w:val="single" w:sz="8" w:color="auto"/>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9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Trademarks and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8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center"/>
              <w:ind w:right="71"/>
              <w:spacing w:after="0" w:line="200" w:lineRule="exact"/>
              <w:rPr>
                <w:sz w:val="20"/>
                <w:szCs w:val="20"/>
                <w:color w:val="auto"/>
              </w:rPr>
            </w:pPr>
            <w:r>
              <w:rPr>
                <w:rFonts w:ascii="Times New Roman" w:cs="Times New Roman" w:eastAsia="Times New Roman" w:hAnsi="Times New Roman"/>
                <w:sz w:val="18"/>
                <w:szCs w:val="18"/>
                <w:b w:val="1"/>
                <w:bCs w:val="1"/>
                <w:color w:val="auto"/>
                <w:w w:val="98"/>
              </w:rPr>
              <w:t>Trade Names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520" w:type="dxa"/>
            <w:vAlign w:val="bottom"/>
            <w:tcBorders>
              <w:top w:val="single" w:sz="8" w:color="auto"/>
              <w:bottom w:val="single" w:sz="8" w:color="CCEEFF"/>
            </w:tcBorders>
          </w:tcPr>
          <w:p>
            <w:pPr>
              <w:spacing w:after="0" w:line="20" w:lineRule="exact"/>
              <w:rPr>
                <w:sz w:val="1"/>
                <w:szCs w:val="1"/>
                <w:color w:val="auto"/>
              </w:rPr>
            </w:pPr>
          </w:p>
        </w:tc>
        <w:tc>
          <w:tcPr>
            <w:tcW w:w="7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9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87.8</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tcPr>
          <w:p>
            <w:pPr>
              <w:spacing w:after="0"/>
              <w:rPr>
                <w:sz w:val="19"/>
                <w:szCs w:val="19"/>
                <w:color w:val="auto"/>
              </w:rPr>
            </w:pPr>
          </w:p>
        </w:tc>
        <w:tc>
          <w:tcPr>
            <w:tcW w:w="9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w w:val="98"/>
              </w:rPr>
              <w:t>(0.6)</w:t>
            </w:r>
          </w:p>
        </w:tc>
        <w:tc>
          <w:tcPr>
            <w:tcW w:w="0" w:type="dxa"/>
            <w:vAlign w:val="bottom"/>
          </w:tcPr>
          <w:p>
            <w:pPr>
              <w:spacing w:after="0"/>
              <w:rPr>
                <w:sz w:val="1"/>
                <w:szCs w:val="1"/>
                <w:color w:val="auto"/>
              </w:rPr>
            </w:pPr>
          </w:p>
        </w:tc>
      </w:tr>
      <w:tr>
        <w:trPr>
          <w:trHeight w:val="245"/>
        </w:trPr>
        <w:tc>
          <w:tcPr>
            <w:tcW w:w="20" w:type="dxa"/>
            <w:vAlign w:val="bottom"/>
            <w:tcBorders>
              <w:bottom w:val="single" w:sz="8" w:color="CCEEFF"/>
            </w:tcBorders>
            <w:shd w:val="clear" w:color="auto" w:fill="CCEEFF"/>
          </w:tcPr>
          <w:p>
            <w:pPr>
              <w:spacing w:after="0"/>
              <w:rPr>
                <w:sz w:val="20"/>
                <w:szCs w:val="20"/>
                <w:color w:val="auto"/>
              </w:rPr>
            </w:pPr>
          </w:p>
        </w:tc>
        <w:tc>
          <w:tcPr>
            <w:tcW w:w="9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7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both"/>
        <w:ind w:right="40" w:firstLine="174"/>
        <w:spacing w:after="0" w:line="276" w:lineRule="auto"/>
        <w:rPr>
          <w:sz w:val="20"/>
          <w:szCs w:val="20"/>
          <w:color w:val="auto"/>
        </w:rPr>
      </w:pPr>
      <w:r>
        <w:rPr>
          <w:rFonts w:ascii="Times New Roman" w:cs="Times New Roman" w:eastAsia="Times New Roman" w:hAnsi="Times New Roman"/>
          <w:sz w:val="18"/>
          <w:szCs w:val="18"/>
          <w:color w:val="auto"/>
        </w:rPr>
        <w:t>The Company amortizes certain acquired identifiable intangible assets primarily on a straight-line basis over their estimated useful lives, which range from three to 50 years.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INVENTORIES</w:t>
            </w: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53"/>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 net at March 31, 2026 and December 31, 2025, were as follows (in millions):</w:t>
            </w: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92"/>
        </w:trPr>
        <w:tc>
          <w:tcPr>
            <w:tcW w:w="7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0" w:type="dxa"/>
            <w:vAlign w:val="bottom"/>
          </w:tcPr>
          <w:p>
            <w:pPr>
              <w:spacing w:after="0"/>
              <w:rPr>
                <w:sz w:val="24"/>
                <w:szCs w:val="24"/>
                <w:color w:val="auto"/>
              </w:rPr>
            </w:pPr>
          </w:p>
        </w:tc>
        <w:tc>
          <w:tcPr>
            <w:tcW w:w="178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0"/>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1,070.6</w:t>
            </w:r>
          </w:p>
        </w:tc>
      </w:tr>
      <w:tr>
        <w:trPr>
          <w:trHeight w:val="227"/>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Repair and replacement parts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824.6</w:t>
            </w:r>
          </w:p>
        </w:tc>
      </w:tr>
      <w:tr>
        <w:trPr>
          <w:trHeight w:val="227"/>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w:t>
            </w:r>
          </w:p>
        </w:tc>
      </w:tr>
      <w:tr>
        <w:trPr>
          <w:trHeight w:val="227"/>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632.2</w:t>
            </w:r>
          </w:p>
        </w:tc>
      </w:tr>
      <w:tr>
        <w:trPr>
          <w:trHeight w:val="245"/>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 net</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2,709.3</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520" w:firstLine="168"/>
        <w:spacing w:after="0" w:line="276" w:lineRule="auto"/>
        <w:rPr>
          <w:sz w:val="20"/>
          <w:szCs w:val="20"/>
          <w:color w:val="auto"/>
        </w:rPr>
      </w:pPr>
      <w:r>
        <w:rPr>
          <w:rFonts w:ascii="Times New Roman" w:cs="Times New Roman" w:eastAsia="Times New Roman" w:hAnsi="Times New Roman"/>
          <w:sz w:val="18"/>
          <w:szCs w:val="18"/>
          <w:color w:val="auto"/>
        </w:rPr>
        <w:t>At March 31, 2026 and December 31, 2025, the Company had recorded $283.5 million and $271.9 million, respectively, as a reserve for surplus and obsolete inventories. These reserves are reflected within “Inventories, net” within the Company's Condensed Consolidated Balance Sheets.</w:t>
      </w:r>
    </w:p>
    <w:p>
      <w:pPr>
        <w:spacing w:after="0" w:line="18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PRODUCT WARRANTY</w:t>
      </w:r>
    </w:p>
    <w:p>
      <w:pPr>
        <w:spacing w:after="0" w:line="248" w:lineRule="exact"/>
        <w:rPr>
          <w:sz w:val="20"/>
          <w:szCs w:val="20"/>
          <w:color w:val="auto"/>
        </w:rPr>
      </w:pPr>
    </w:p>
    <w:p>
      <w:pPr>
        <w:ind w:right="220" w:firstLine="174"/>
        <w:spacing w:after="0" w:line="276" w:lineRule="auto"/>
        <w:rPr>
          <w:sz w:val="20"/>
          <w:szCs w:val="20"/>
          <w:color w:val="auto"/>
        </w:rPr>
      </w:pPr>
      <w:r>
        <w:rPr>
          <w:rFonts w:ascii="Times New Roman" w:cs="Times New Roman" w:eastAsia="Times New Roman" w:hAnsi="Times New Roman"/>
          <w:sz w:val="18"/>
          <w:szCs w:val="18"/>
          <w:color w:val="auto"/>
        </w:rPr>
        <w:t>The warranty reserve activity for the three months ended March 31, 2026 and 2025, including deferred revenue associated with the Company's extended warranties that have been sold, was as follows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tcPr>
          <w:p>
            <w:pPr>
              <w:spacing w:after="0"/>
              <w:rPr>
                <w:sz w:val="20"/>
                <w:szCs w:val="20"/>
                <w:color w:val="auto"/>
              </w:rPr>
            </w:pPr>
          </w:p>
        </w:tc>
        <w:tc>
          <w:tcPr>
            <w:tcW w:w="3020" w:type="dxa"/>
            <w:vAlign w:val="bottom"/>
            <w:tcBorders>
              <w:bottom w:val="single" w:sz="8" w:color="auto"/>
            </w:tcBorders>
            <w:gridSpan w:val="5"/>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0"/>
        </w:trPr>
        <w:tc>
          <w:tcPr>
            <w:tcW w:w="82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92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743.0</w:t>
            </w:r>
          </w:p>
        </w:tc>
      </w:tr>
      <w:tr>
        <w:trPr>
          <w:trHeight w:val="227"/>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Accruals for warranties issued</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r>
      <w:tr>
        <w:trPr>
          <w:trHeight w:val="22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made and deferred revenue recognized</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r>
      <w:tr>
        <w:trPr>
          <w:trHeight w:val="227"/>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45"/>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w:t>
            </w:r>
          </w:p>
        </w:tc>
        <w:tc>
          <w:tcPr>
            <w:tcW w:w="920" w:type="dxa"/>
            <w:vAlign w:val="bottom"/>
            <w:tcBorders>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746.6</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Company’s agricultural equipment products generally are warranted against defects in material and workmanship for a period of one to four years. The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accrues for future warranty costs at the time of sale based on historical warranty experience. The Company's extended warranty period for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majority of products ranges from three to five years. Revenue is recognized for the extended warranty contracts on a straight-line basis, which the Company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believes approximates the cost expected to be incurred in satisfying the obligations, over the extended warranty period. Approximately $622.2 million,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$626.6 million and $589.4 million of warranty reserves are included in “Accrued expenses” in the Company’s Condensed Consolidated Balance Sheets as of</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December 31, 2025 and March 31, 2025, respectively. Approximately $195.2 million, $187.7 million and $157.2 million of warranty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reserves are included in “Other noncurrent liabilities” in the Company’s Condensed Consolidated Balance Sheets as of March 31, 2026, December 31, 2025</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March 31, 2025, respectively.</w:t>
      </w:r>
    </w:p>
    <w:p>
      <w:pPr>
        <w:spacing w:after="0" w:line="227" w:lineRule="exact"/>
        <w:rPr>
          <w:sz w:val="20"/>
          <w:szCs w:val="20"/>
          <w:color w:val="auto"/>
        </w:rPr>
      </w:pPr>
    </w:p>
    <w:p>
      <w:pPr>
        <w:ind w:right="340" w:firstLine="174"/>
        <w:spacing w:after="0" w:line="254" w:lineRule="auto"/>
        <w:rPr>
          <w:sz w:val="20"/>
          <w:szCs w:val="20"/>
          <w:color w:val="auto"/>
        </w:rPr>
      </w:pPr>
      <w:r>
        <w:rPr>
          <w:rFonts w:ascii="Times New Roman" w:cs="Times New Roman" w:eastAsia="Times New Roman" w:hAnsi="Times New Roman"/>
          <w:sz w:val="18"/>
          <w:szCs w:val="18"/>
          <w:color w:val="auto"/>
        </w:rPr>
        <w:t>The Company recognizes potential recoveries of the costs associated with warranties it provides when the collection is probable. When specifics of the recovery have been agreed upon with the Company’s suppliers through the confirmation of liability for the recovery, the Company records the recovery within “Accounts and notes receivable, net” in the Company's Condensed Consolidated Balance Sheets. Estimates of the amount of warranty claim recoveries to be received from the Company’s suppliers based upon contractual supplier arrangements are recorded within “Other current assets” in the Company's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SUPPLIER FINANCE PROGRAMS</w:t>
      </w:r>
    </w:p>
    <w:p>
      <w:pPr>
        <w:spacing w:after="0" w:line="248" w:lineRule="exact"/>
        <w:rPr>
          <w:sz w:val="20"/>
          <w:szCs w:val="20"/>
          <w:color w:val="auto"/>
        </w:rPr>
      </w:pPr>
    </w:p>
    <w:p>
      <w:pPr>
        <w:ind w:firstLine="174"/>
        <w:spacing w:after="0" w:line="266" w:lineRule="auto"/>
        <w:rPr>
          <w:sz w:val="20"/>
          <w:szCs w:val="20"/>
          <w:color w:val="auto"/>
        </w:rPr>
      </w:pPr>
      <w:r>
        <w:rPr>
          <w:rFonts w:ascii="Times New Roman" w:cs="Times New Roman" w:eastAsia="Times New Roman" w:hAnsi="Times New Roman"/>
          <w:sz w:val="17"/>
          <w:szCs w:val="17"/>
          <w:color w:val="auto"/>
        </w:rPr>
        <w:t>The Company has supplier financing arrangements with certain banks or other intermediaries whereby a bank or intermediary purchases receivables held by the Company’s suppliers. Under the program, suppliers have the option to be paid by the bank or intermediary earlier than the payment due date. When the supplier receives an early payment, they receive discounted amounts, and the Company pays the bank or intermediary the face amount of the invoice on the payment due date. The Company does not reimburse suppliers for any costs incurred for participation in the program. The Company and its suppliers agree on the contractual terms, including prices, quantities and payment terms, regardless of whether the supplier elects to participate in the supplier finance programs. The suppliers’ voluntary inclusion in the supplier financing programs has no bearing on the Company’s payment terms. The Company has no economic interest in a supplier’s decision to participate in the programs, and the Company has no direct financial relationship with the banks or other intermediaries as it relates to the supplier finance programs. As of March 31, 2026, payment terms with the majority of the Company’s suppliers are 30 to 180 days, which correspond to the contractual terms, with rates that are based on market rates (such as SOFR) plus a credit spread. There are no assets pledged as security under the programs. As of March 31, 2026 and December 31, 2025, the amounts outstanding that remain unpaid to the banks or other intermediaries totaled $40.0 million and $31.7 million, respectively, and are reflected in “Accounts payable” in the Company’s Condensed Consolidated Balance Sheets.</w:t>
      </w:r>
    </w:p>
    <w:p>
      <w:pPr>
        <w:spacing w:after="0" w:line="2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INDEBTEDNESS</w:t>
      </w:r>
    </w:p>
    <w:p>
      <w:pPr>
        <w:spacing w:after="0" w:line="2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Long-term debt consisted of the following at March 31, 2026 and December 31, 2025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0" w:type="dxa"/>
            <w:vAlign w:val="bottom"/>
          </w:tcPr>
          <w:p>
            <w:pPr>
              <w:spacing w:after="0"/>
              <w:rPr>
                <w:sz w:val="20"/>
                <w:szCs w:val="20"/>
                <w:color w:val="auto"/>
              </w:rPr>
            </w:pPr>
          </w:p>
        </w:tc>
        <w:tc>
          <w:tcPr>
            <w:tcW w:w="178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0"/>
        </w:trPr>
        <w:tc>
          <w:tcPr>
            <w:tcW w:w="72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Credit Facility, expires 2027</w:t>
            </w: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5.450% Senior notes due 2027</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r>
      <w:tr>
        <w:trPr>
          <w:trHeight w:val="227"/>
        </w:trPr>
        <w:tc>
          <w:tcPr>
            <w:tcW w:w="7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5.800% Senior notes due 2034</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r>
      <w:tr>
        <w:trPr>
          <w:trHeight w:val="227"/>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0.800% Senior notes due 2028</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703.8</w:t>
            </w:r>
          </w:p>
        </w:tc>
      </w:tr>
      <w:tr>
        <w:trPr>
          <w:trHeight w:val="227"/>
        </w:trPr>
        <w:tc>
          <w:tcPr>
            <w:tcW w:w="7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EIB Senior term loan due 2029</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w:t>
            </w:r>
          </w:p>
        </w:tc>
      </w:tr>
      <w:tr>
        <w:trPr>
          <w:trHeight w:val="227"/>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EIB Senior term loan due 2030</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w:t>
            </w:r>
          </w:p>
        </w:tc>
      </w:tr>
      <w:tr>
        <w:trPr>
          <w:trHeight w:val="227"/>
        </w:trPr>
        <w:tc>
          <w:tcPr>
            <w:tcW w:w="7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term loans due between 2026 and 2028</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r>
      <w:tr>
        <w:trPr>
          <w:trHeight w:val="227"/>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0"/>
        </w:trPr>
        <w:tc>
          <w:tcPr>
            <w:tcW w:w="7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2,384.7</w:t>
            </w:r>
          </w:p>
        </w:tc>
      </w:tr>
      <w:tr>
        <w:trPr>
          <w:trHeight w:val="267"/>
        </w:trPr>
        <w:tc>
          <w:tcPr>
            <w:tcW w:w="7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227"/>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27"/>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term loans due 2026</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27"/>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5.450% Senior notes due 2027, net of debt issuance costs</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indebtedness</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2,018.7</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2,323.1</w:t>
            </w:r>
          </w:p>
        </w:tc>
      </w:tr>
      <w:tr>
        <w:trPr>
          <w:trHeight w:val="20"/>
        </w:trPr>
        <w:tc>
          <w:tcPr>
            <w:tcW w:w="7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250" w:lineRule="exact"/>
        <w:rPr>
          <w:sz w:val="20"/>
          <w:szCs w:val="20"/>
          <w:color w:val="auto"/>
        </w:rPr>
      </w:pPr>
    </w:p>
    <w:p>
      <w:pPr>
        <w:ind w:right="60" w:firstLine="174"/>
        <w:spacing w:after="0" w:line="261" w:lineRule="auto"/>
        <w:rPr>
          <w:sz w:val="20"/>
          <w:szCs w:val="20"/>
          <w:color w:val="auto"/>
        </w:rPr>
      </w:pPr>
      <w:r>
        <w:rPr>
          <w:rFonts w:ascii="Times New Roman" w:cs="Times New Roman" w:eastAsia="Times New Roman" w:hAnsi="Times New Roman"/>
          <w:sz w:val="18"/>
          <w:szCs w:val="18"/>
          <w:color w:val="auto"/>
        </w:rPr>
        <w:t>The Company has a credit facility providing for a $1.25 billion multi-currency unsecured revolving credit facility (“Credit Facility”) that matures on December 19, 2027. As of March 31, 2026, the Company had $115.0 million outstanding borrowings under the revolving credit facility and had the ability to borrow $1,135.0 million.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Uncommitted Credit Facility</w:t>
      </w:r>
    </w:p>
    <w:p>
      <w:pPr>
        <w:spacing w:after="0" w:line="250" w:lineRule="exact"/>
        <w:rPr>
          <w:sz w:val="20"/>
          <w:szCs w:val="20"/>
          <w:color w:val="auto"/>
        </w:rPr>
      </w:pPr>
    </w:p>
    <w:p>
      <w:pPr>
        <w:ind w:firstLine="174"/>
        <w:spacing w:after="0" w:line="261" w:lineRule="auto"/>
        <w:rPr>
          <w:sz w:val="20"/>
          <w:szCs w:val="20"/>
          <w:color w:val="auto"/>
        </w:rPr>
      </w:pPr>
      <w:r>
        <w:rPr>
          <w:rFonts w:ascii="Times New Roman" w:cs="Times New Roman" w:eastAsia="Times New Roman" w:hAnsi="Times New Roman"/>
          <w:sz w:val="18"/>
          <w:szCs w:val="18"/>
          <w:color w:val="auto"/>
        </w:rPr>
        <w:t>The Company has an uncommitted revolving credit facility that allows the Company to borrow up to €200.0 million (or approximately $230.6 million as of March 31, 2026). The credit facility expires on December 31, 2026. As of March 31, 2026 and December 31, 2025, the Company had no outstanding borrowings under the revolving credit facility.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Short-Term Borrowings</w:t>
      </w:r>
    </w:p>
    <w:p>
      <w:pPr>
        <w:spacing w:after="0" w:line="263" w:lineRule="exact"/>
        <w:rPr>
          <w:sz w:val="20"/>
          <w:szCs w:val="20"/>
          <w:color w:val="auto"/>
        </w:rPr>
      </w:pPr>
    </w:p>
    <w:p>
      <w:pPr>
        <w:ind w:right="220" w:firstLine="195"/>
        <w:spacing w:after="0" w:line="276" w:lineRule="auto"/>
        <w:rPr>
          <w:sz w:val="20"/>
          <w:szCs w:val="20"/>
          <w:color w:val="auto"/>
        </w:rPr>
      </w:pPr>
      <w:r>
        <w:rPr>
          <w:rFonts w:ascii="Times New Roman" w:cs="Times New Roman" w:eastAsia="Times New Roman" w:hAnsi="Times New Roman"/>
          <w:sz w:val="18"/>
          <w:szCs w:val="18"/>
          <w:color w:val="auto"/>
        </w:rPr>
        <w:t>As of March 31, 2026 and December 31, 2025, the Company had short-term borrowings due within one year, excluding the current portion of long-term debt, of approximately $96.0 million and $56.1 million,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Standby Letters of Credit and Similar Instruments</w:t>
      </w:r>
    </w:p>
    <w:p>
      <w:pPr>
        <w:spacing w:after="0" w:line="250" w:lineRule="exact"/>
        <w:rPr>
          <w:sz w:val="20"/>
          <w:szCs w:val="20"/>
          <w:color w:val="auto"/>
        </w:rPr>
      </w:pPr>
    </w:p>
    <w:p>
      <w:pPr>
        <w:jc w:val="both"/>
        <w:ind w:right="20" w:firstLine="174"/>
        <w:spacing w:after="0" w:line="261" w:lineRule="auto"/>
        <w:rPr>
          <w:sz w:val="20"/>
          <w:szCs w:val="20"/>
          <w:color w:val="auto"/>
        </w:rPr>
      </w:pPr>
      <w:r>
        <w:rPr>
          <w:rFonts w:ascii="Times New Roman" w:cs="Times New Roman" w:eastAsia="Times New Roman" w:hAnsi="Times New Roman"/>
          <w:sz w:val="18"/>
          <w:szCs w:val="18"/>
          <w:color w:val="auto"/>
        </w:rPr>
        <w:t>The Company has arrangements with various banks to issue standby letters of credit or similar instruments, which guarantee the Company’s obligations for the purchase or sale of certain inventories and for potential claims exposure for insurance coverage. At March 31, 2026 and December 31, 2025, outstanding letters of credit totaled approximately $14.0 million and $14.0 million, respectively.</w:t>
      </w:r>
    </w:p>
    <w:p>
      <w:pPr>
        <w:spacing w:after="0" w:line="20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RESTRUCTURING AND BUSINESS OPTIMIZATION EXPENSES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Expenses</w:t>
      </w:r>
    </w:p>
    <w:p>
      <w:pPr>
        <w:spacing w:after="0" w:line="250" w:lineRule="exact"/>
        <w:rPr>
          <w:sz w:val="20"/>
          <w:szCs w:val="20"/>
          <w:color w:val="auto"/>
        </w:rPr>
      </w:pPr>
    </w:p>
    <w:p>
      <w:pPr>
        <w:ind w:right="320" w:firstLine="174"/>
        <w:spacing w:after="0" w:line="276" w:lineRule="auto"/>
        <w:rPr>
          <w:sz w:val="20"/>
          <w:szCs w:val="20"/>
          <w:color w:val="auto"/>
        </w:rPr>
      </w:pPr>
      <w:r>
        <w:rPr>
          <w:rFonts w:ascii="Times New Roman" w:cs="Times New Roman" w:eastAsia="Times New Roman" w:hAnsi="Times New Roman"/>
          <w:sz w:val="18"/>
          <w:szCs w:val="18"/>
          <w:color w:val="auto"/>
        </w:rPr>
        <w:t>The Company announced a restructuring program (the “Program”) in response to increased weakening demand in the agriculture industry in 2024. The Company incurred a substantial portion of the charges by the end of fiscal year 2025.</w:t>
      </w:r>
    </w:p>
    <w:p>
      <w:pPr>
        <w:spacing w:after="0" w:line="190" w:lineRule="exact"/>
        <w:rPr>
          <w:sz w:val="20"/>
          <w:szCs w:val="20"/>
          <w:color w:val="auto"/>
        </w:rPr>
      </w:pPr>
    </w:p>
    <w:p>
      <w:pPr>
        <w:ind w:right="500" w:firstLine="178"/>
        <w:spacing w:after="0" w:line="276" w:lineRule="auto"/>
        <w:rPr>
          <w:sz w:val="20"/>
          <w:szCs w:val="20"/>
          <w:color w:val="auto"/>
        </w:rPr>
      </w:pPr>
      <w:r>
        <w:rPr>
          <w:rFonts w:ascii="Times New Roman" w:cs="Times New Roman" w:eastAsia="Times New Roman" w:hAnsi="Times New Roman"/>
          <w:sz w:val="18"/>
          <w:szCs w:val="18"/>
          <w:color w:val="auto"/>
        </w:rPr>
        <w:t>Restructuring expenses activity, which relates to severance and other related costs, during the three months ended March 31, 2026, is summarized as follows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020" w:type="dxa"/>
            <w:vAlign w:val="bottom"/>
            <w:tcBorders>
              <w:bottom w:val="single" w:sz="8" w:color="auto"/>
            </w:tcBorders>
            <w:shd w:val="clear" w:color="auto" w:fill="CCEEFF"/>
          </w:tcPr>
          <w:p>
            <w:pPr>
              <w:jc w:val="right"/>
              <w:ind w:right="83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r>
      <w:tr>
        <w:trPr>
          <w:trHeight w:val="220"/>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quarter 2026 provision, net of reversals</w:t>
            </w:r>
          </w:p>
        </w:tc>
        <w:tc>
          <w:tcPr>
            <w:tcW w:w="10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7"/>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 2026 cash activity</w:t>
            </w:r>
          </w:p>
        </w:tc>
        <w:tc>
          <w:tcPr>
            <w:tcW w:w="10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27"/>
        </w:trPr>
        <w:tc>
          <w:tcPr>
            <w:tcW w:w="8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45"/>
        </w:trPr>
        <w:tc>
          <w:tcPr>
            <w:tcW w:w="8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1020" w:type="dxa"/>
            <w:vAlign w:val="bottom"/>
            <w:tcBorders>
              <w:bottom w:val="single" w:sz="8" w:color="auto"/>
            </w:tcBorders>
            <w:shd w:val="clear" w:color="auto" w:fill="CCEEFF"/>
          </w:tcPr>
          <w:p>
            <w:pPr>
              <w:jc w:val="right"/>
              <w:ind w:right="83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r>
      <w:tr>
        <w:trPr>
          <w:trHeight w:val="20"/>
        </w:trPr>
        <w:tc>
          <w:tcPr>
            <w:tcW w:w="88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160" w:firstLine="168"/>
        <w:spacing w:after="0" w:line="257" w:lineRule="auto"/>
        <w:rPr>
          <w:sz w:val="20"/>
          <w:szCs w:val="20"/>
          <w:color w:val="auto"/>
        </w:rPr>
      </w:pPr>
      <w:r>
        <w:rPr>
          <w:rFonts w:ascii="Times New Roman" w:cs="Times New Roman" w:eastAsia="Times New Roman" w:hAnsi="Times New Roman"/>
          <w:sz w:val="18"/>
          <w:szCs w:val="18"/>
          <w:color w:val="auto"/>
        </w:rPr>
        <w:t>Approximately $33.7 million and $56.9 million of restructuring expenses are included in “Accrued expenses” in the Company’s Condensed Consolidated Balance Sheets as of March 31, 2026 and December 31, 2025, respectively. Approximately $23.4 million and $25.9 million of restructuring expenses are included in “Other noncurrent liabilities” in the Company’s Condensed Consolidated Balance Sheets as of March 31, 2026 and December 31, 2025, respectively.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Optimization Expenses</w:t>
      </w:r>
    </w:p>
    <w:p>
      <w:pPr>
        <w:spacing w:after="0" w:line="250" w:lineRule="exact"/>
        <w:rPr>
          <w:sz w:val="20"/>
          <w:szCs w:val="20"/>
          <w:color w:val="auto"/>
        </w:rPr>
      </w:pPr>
    </w:p>
    <w:p>
      <w:pPr>
        <w:jc w:val="both"/>
        <w:ind w:right="300" w:firstLine="178"/>
        <w:spacing w:after="0" w:line="284" w:lineRule="auto"/>
        <w:rPr>
          <w:sz w:val="20"/>
          <w:szCs w:val="20"/>
          <w:color w:val="auto"/>
        </w:rPr>
      </w:pPr>
      <w:r>
        <w:rPr>
          <w:rFonts w:ascii="Times New Roman" w:cs="Times New Roman" w:eastAsia="Times New Roman" w:hAnsi="Times New Roman"/>
          <w:sz w:val="17"/>
          <w:szCs w:val="17"/>
          <w:color w:val="auto"/>
        </w:rPr>
        <w:t>Business optimization expenses primarily relate to professional services costs incurred as part of the restructuring program aimed at reducing structural costs, enhancing global efficiencies by changing the Company’s operating model for certain corporate and back-office functions. During the three months ended March 31, 2026 and 2025, the Company recognized approximately $2.5 million and $13.8 million, respectively, of business optimization expenses.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DERIVATIVE INSTRUMENTS AND HEDGING ACTIVITIES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Transactions Designated as Hedging Instruments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Contracts</w:t>
      </w:r>
    </w:p>
    <w:p>
      <w:pPr>
        <w:spacing w:after="0" w:line="248" w:lineRule="exact"/>
        <w:rPr>
          <w:sz w:val="20"/>
          <w:szCs w:val="20"/>
          <w:color w:val="auto"/>
        </w:rPr>
      </w:pPr>
    </w:p>
    <w:p>
      <w:pPr>
        <w:ind w:right="180" w:firstLine="174"/>
        <w:spacing w:after="0" w:line="257" w:lineRule="auto"/>
        <w:rPr>
          <w:sz w:val="20"/>
          <w:szCs w:val="20"/>
          <w:color w:val="auto"/>
        </w:rPr>
      </w:pPr>
      <w:r>
        <w:rPr>
          <w:rFonts w:ascii="Times New Roman" w:cs="Times New Roman" w:eastAsia="Times New Roman" w:hAnsi="Times New Roman"/>
          <w:sz w:val="18"/>
          <w:szCs w:val="18"/>
          <w:color w:val="auto"/>
        </w:rPr>
        <w:t>The Company uses cash flow hedges to minimize the variability in cash flows of assets or liabilities or forecasted transactions caused by fluctuations in foreign currency exchange rates. The changes in the fair values of these cash flow hedges are recorded in accumulated other comprehensive loss and are subsequently reclassified into “Cost of goods sold” during the period the sales and purchases are recognized. These amounts offset the effect of the changes in foreign currency rates on the related sale and purchase transactions.</w:t>
      </w:r>
    </w:p>
    <w:p>
      <w:pPr>
        <w:spacing w:after="0" w:line="206" w:lineRule="exact"/>
        <w:rPr>
          <w:sz w:val="20"/>
          <w:szCs w:val="20"/>
          <w:color w:val="auto"/>
        </w:rPr>
      </w:pPr>
    </w:p>
    <w:p>
      <w:pPr>
        <w:ind w:right="280" w:firstLine="174"/>
        <w:spacing w:after="0" w:line="261" w:lineRule="auto"/>
        <w:rPr>
          <w:sz w:val="20"/>
          <w:szCs w:val="20"/>
          <w:color w:val="auto"/>
        </w:rPr>
      </w:pPr>
      <w:r>
        <w:rPr>
          <w:rFonts w:ascii="Times New Roman" w:cs="Times New Roman" w:eastAsia="Times New Roman" w:hAnsi="Times New Roman"/>
          <w:sz w:val="18"/>
          <w:szCs w:val="18"/>
          <w:color w:val="auto"/>
        </w:rPr>
        <w:t>The Company designates certain foreign currency contracts as cash flow hedges of expected future sales and purchases. The total notional value of derivatives that were designated as cash flow hedges was approximately $169.4 million and $210.8 million as of March 31, 2026 and December 31, 2025, respectively.</w:t>
      </w:r>
    </w:p>
    <w:p>
      <w:pPr>
        <w:spacing w:after="0" w:line="298" w:lineRule="exact"/>
        <w:rPr>
          <w:sz w:val="20"/>
          <w:szCs w:val="20"/>
          <w:color w:val="auto"/>
        </w:rPr>
      </w:pPr>
    </w:p>
    <w:p>
      <w:pPr>
        <w:ind w:right="420" w:firstLine="174"/>
        <w:spacing w:after="0" w:line="276" w:lineRule="auto"/>
        <w:rPr>
          <w:sz w:val="20"/>
          <w:szCs w:val="20"/>
          <w:color w:val="auto"/>
        </w:rPr>
      </w:pPr>
      <w:r>
        <w:rPr>
          <w:rFonts w:ascii="Times New Roman" w:cs="Times New Roman" w:eastAsia="Times New Roman" w:hAnsi="Times New Roman"/>
          <w:sz w:val="18"/>
          <w:szCs w:val="18"/>
          <w:color w:val="auto"/>
        </w:rPr>
        <w:t>The following table summarizes the activity in accumulated other comprehensive loss related to the derivatives held by the Company during the three months ended March 31, 2026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Before-Tax</w:t>
            </w:r>
          </w:p>
        </w:tc>
        <w:tc>
          <w:tcPr>
            <w:tcW w:w="18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Income Tax</w:t>
            </w:r>
          </w:p>
        </w:tc>
        <w:tc>
          <w:tcPr>
            <w:tcW w:w="200" w:type="dxa"/>
            <w:vAlign w:val="bottom"/>
          </w:tcPr>
          <w:p>
            <w:pPr>
              <w:spacing w:after="0"/>
              <w:rPr>
                <w:sz w:val="17"/>
                <w:szCs w:val="17"/>
                <w:color w:val="auto"/>
              </w:rPr>
            </w:pPr>
          </w:p>
        </w:tc>
        <w:tc>
          <w:tcPr>
            <w:tcW w:w="1120" w:type="dxa"/>
            <w:vAlign w:val="bottom"/>
            <w:vMerge w:val="restart"/>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6"/>
              </w:rPr>
              <w:t>After-Tax</w:t>
            </w:r>
          </w:p>
        </w:tc>
        <w:tc>
          <w:tcPr>
            <w:tcW w:w="0" w:type="dxa"/>
            <w:vAlign w:val="bottom"/>
          </w:tcPr>
          <w:p>
            <w:pPr>
              <w:spacing w:after="0"/>
              <w:rPr>
                <w:sz w:val="1"/>
                <w:szCs w:val="1"/>
                <w:color w:val="auto"/>
              </w:rPr>
            </w:pPr>
          </w:p>
        </w:tc>
      </w:tr>
      <w:tr>
        <w:trPr>
          <w:trHeight w:val="180"/>
        </w:trPr>
        <w:tc>
          <w:tcPr>
            <w:tcW w:w="7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center"/>
              <w:ind w:right="260"/>
              <w:spacing w:after="0" w:line="181" w:lineRule="exact"/>
              <w:rPr>
                <w:sz w:val="20"/>
                <w:szCs w:val="20"/>
                <w:color w:val="auto"/>
              </w:rPr>
            </w:pPr>
            <w:r>
              <w:rPr>
                <w:rFonts w:ascii="Times New Roman" w:cs="Times New Roman" w:eastAsia="Times New Roman" w:hAnsi="Times New Roman"/>
                <w:sz w:val="18"/>
                <w:szCs w:val="18"/>
                <w:b w:val="1"/>
                <w:bCs w:val="1"/>
                <w:color w:val="auto"/>
                <w:w w:val="96"/>
              </w:rPr>
              <w:t>Expense</w:t>
            </w:r>
          </w:p>
        </w:tc>
        <w:tc>
          <w:tcPr>
            <w:tcW w:w="2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7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tcPr>
          <w:p>
            <w:pPr>
              <w:spacing w:after="0"/>
              <w:rPr>
                <w:sz w:val="19"/>
                <w:szCs w:val="19"/>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(Benefit)</w:t>
            </w:r>
          </w:p>
        </w:tc>
        <w:tc>
          <w:tcPr>
            <w:tcW w:w="200" w:type="dxa"/>
            <w:vAlign w:val="bottom"/>
          </w:tcPr>
          <w:p>
            <w:pPr>
              <w:spacing w:after="0"/>
              <w:rPr>
                <w:sz w:val="19"/>
                <w:szCs w:val="19"/>
                <w:color w:val="auto"/>
              </w:rPr>
            </w:pPr>
          </w:p>
        </w:tc>
        <w:tc>
          <w:tcPr>
            <w:tcW w:w="112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220"/>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derivative net gains as of December 31, 2025</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center"/>
              <w:ind w:left="671"/>
              <w:spacing w:after="0"/>
              <w:rPr>
                <w:sz w:val="20"/>
                <w:szCs w:val="20"/>
                <w:color w:val="auto"/>
              </w:rPr>
            </w:pPr>
            <w:r>
              <w:rPr>
                <w:rFonts w:ascii="Times New Roman" w:cs="Times New Roman" w:eastAsia="Times New Roman" w:hAnsi="Times New Roman"/>
                <w:sz w:val="18"/>
                <w:szCs w:val="18"/>
                <w:color w:val="auto"/>
                <w:w w:val="97"/>
              </w:rPr>
              <w:t>4.6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center"/>
              <w:ind w:left="671"/>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7"/>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changes in fair value of derivatives: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contracts</w:t>
            </w:r>
            <w:r>
              <w:rPr>
                <w:rFonts w:ascii="Times New Roman" w:cs="Times New Roman" w:eastAsia="Times New Roman" w:hAnsi="Times New Roman"/>
                <w:sz w:val="9"/>
                <w:szCs w:val="9"/>
                <w:color w:val="auto"/>
              </w:rPr>
              <w:t>(1)</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ind w:left="631"/>
              <w:spacing w:after="0"/>
              <w:rPr>
                <w:sz w:val="20"/>
                <w:szCs w:val="20"/>
                <w:color w:val="auto"/>
              </w:rPr>
            </w:pPr>
            <w:r>
              <w:rPr>
                <w:rFonts w:ascii="Times New Roman" w:cs="Times New Roman" w:eastAsia="Times New Roman" w:hAnsi="Times New Roman"/>
                <w:sz w:val="18"/>
                <w:szCs w:val="18"/>
                <w:color w:val="auto"/>
                <w:w w:val="98"/>
              </w:rPr>
              <w:t>(5.3)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651"/>
              <w:spacing w:after="0"/>
              <w:rPr>
                <w:sz w:val="20"/>
                <w:szCs w:val="20"/>
                <w:color w:val="auto"/>
              </w:rPr>
            </w:pPr>
            <w:r>
              <w:rPr>
                <w:rFonts w:ascii="Times New Roman" w:cs="Times New Roman" w:eastAsia="Times New Roman" w:hAnsi="Times New Roman"/>
                <w:sz w:val="18"/>
                <w:szCs w:val="18"/>
                <w:color w:val="auto"/>
                <w:w w:val="98"/>
              </w:rPr>
              <w:t>(4.1)</w:t>
            </w:r>
          </w:p>
        </w:tc>
        <w:tc>
          <w:tcPr>
            <w:tcW w:w="0" w:type="dxa"/>
            <w:vAlign w:val="bottom"/>
          </w:tcPr>
          <w:p>
            <w:pPr>
              <w:spacing w:after="0"/>
              <w:rPr>
                <w:sz w:val="1"/>
                <w:szCs w:val="1"/>
                <w:color w:val="auto"/>
              </w:rPr>
            </w:pPr>
          </w:p>
        </w:tc>
      </w:tr>
      <w:tr>
        <w:trPr>
          <w:trHeight w:val="220"/>
        </w:trPr>
        <w:tc>
          <w:tcPr>
            <w:tcW w:w="7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19"/>
                <w:szCs w:val="19"/>
                <w:color w:val="auto"/>
              </w:rPr>
            </w:pPr>
          </w:p>
        </w:tc>
        <w:tc>
          <w:tcPr>
            <w:tcW w:w="1140" w:type="dxa"/>
            <w:vAlign w:val="bottom"/>
          </w:tcPr>
          <w:p>
            <w:pPr>
              <w:jc w:val="center"/>
              <w:ind w:left="631"/>
              <w:spacing w:after="0"/>
              <w:rPr>
                <w:sz w:val="20"/>
                <w:szCs w:val="20"/>
                <w:color w:val="auto"/>
              </w:rPr>
            </w:pPr>
            <w:r>
              <w:rPr>
                <w:rFonts w:ascii="Times New Roman" w:cs="Times New Roman" w:eastAsia="Times New Roman" w:hAnsi="Times New Roman"/>
                <w:sz w:val="18"/>
                <w:szCs w:val="18"/>
                <w:color w:val="auto"/>
                <w:w w:val="98"/>
              </w:rPr>
              <w:t>(5.3)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center"/>
              <w:ind w:left="651"/>
              <w:spacing w:after="0"/>
              <w:rPr>
                <w:sz w:val="20"/>
                <w:szCs w:val="20"/>
                <w:color w:val="auto"/>
              </w:rPr>
            </w:pPr>
            <w:r>
              <w:rPr>
                <w:rFonts w:ascii="Times New Roman" w:cs="Times New Roman" w:eastAsia="Times New Roman" w:hAnsi="Times New Roman"/>
                <w:sz w:val="18"/>
                <w:szCs w:val="18"/>
                <w:color w:val="auto"/>
                <w:w w:val="98"/>
              </w:rPr>
              <w:t>(4.1)</w:t>
            </w:r>
          </w:p>
        </w:tc>
        <w:tc>
          <w:tcPr>
            <w:tcW w:w="0" w:type="dxa"/>
            <w:vAlign w:val="bottom"/>
          </w:tcPr>
          <w:p>
            <w:pPr>
              <w:spacing w:after="0"/>
              <w:rPr>
                <w:sz w:val="1"/>
                <w:szCs w:val="1"/>
                <w:color w:val="auto"/>
              </w:rPr>
            </w:pPr>
          </w:p>
        </w:tc>
      </w:tr>
      <w:tr>
        <w:trPr>
          <w:trHeight w:val="227"/>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losses (gains) reclassified from accumulated other comprehensive loss into income: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contracts</w:t>
            </w:r>
            <w:r>
              <w:rPr>
                <w:rFonts w:ascii="Times New Roman" w:cs="Times New Roman" w:eastAsia="Times New Roman" w:hAnsi="Times New Roman"/>
                <w:sz w:val="9"/>
                <w:szCs w:val="9"/>
                <w:color w:val="auto"/>
              </w:rPr>
              <w:t>(1)</w:t>
            </w:r>
          </w:p>
        </w:tc>
        <w:tc>
          <w:tcPr>
            <w:tcW w:w="180" w:type="dxa"/>
            <w:vAlign w:val="bottom"/>
          </w:tcPr>
          <w:p>
            <w:pPr>
              <w:spacing w:after="0"/>
              <w:rPr>
                <w:sz w:val="19"/>
                <w:szCs w:val="19"/>
                <w:color w:val="auto"/>
              </w:rPr>
            </w:pPr>
          </w:p>
        </w:tc>
        <w:tc>
          <w:tcPr>
            <w:tcW w:w="1140" w:type="dxa"/>
            <w:vAlign w:val="bottom"/>
          </w:tcPr>
          <w:p>
            <w:pPr>
              <w:jc w:val="center"/>
              <w:ind w:left="671"/>
              <w:spacing w:after="0"/>
              <w:rPr>
                <w:sz w:val="20"/>
                <w:szCs w:val="20"/>
                <w:color w:val="auto"/>
              </w:rPr>
            </w:pPr>
            <w:r>
              <w:rPr>
                <w:rFonts w:ascii="Times New Roman" w:cs="Times New Roman" w:eastAsia="Times New Roman" w:hAnsi="Times New Roman"/>
                <w:sz w:val="18"/>
                <w:szCs w:val="18"/>
                <w:color w:val="auto"/>
                <w:w w:val="97"/>
              </w:rPr>
              <w:t>1.8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center"/>
              <w:ind w:left="671"/>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7"/>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Treasury rate locks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631"/>
              <w:spacing w:after="0"/>
              <w:rPr>
                <w:sz w:val="20"/>
                <w:szCs w:val="20"/>
                <w:color w:val="auto"/>
              </w:rPr>
            </w:pPr>
            <w:r>
              <w:rPr>
                <w:rFonts w:ascii="Times New Roman" w:cs="Times New Roman" w:eastAsia="Times New Roman" w:hAnsi="Times New Roman"/>
                <w:sz w:val="18"/>
                <w:szCs w:val="18"/>
                <w:color w:val="auto"/>
                <w:w w:val="98"/>
              </w:rPr>
              <w:t>(0.2)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651"/>
              <w:spacing w:after="0"/>
              <w:rPr>
                <w:sz w:val="20"/>
                <w:szCs w:val="20"/>
                <w:color w:val="auto"/>
              </w:rPr>
            </w:pPr>
            <w:r>
              <w:rPr>
                <w:rFonts w:ascii="Times New Roman" w:cs="Times New Roman" w:eastAsia="Times New Roman" w:hAnsi="Times New Roman"/>
                <w:sz w:val="18"/>
                <w:szCs w:val="18"/>
                <w:color w:val="auto"/>
                <w:w w:val="98"/>
              </w:rPr>
              <w:t>(0.2)</w:t>
            </w:r>
          </w:p>
        </w:tc>
        <w:tc>
          <w:tcPr>
            <w:tcW w:w="0" w:type="dxa"/>
            <w:vAlign w:val="bottom"/>
          </w:tcPr>
          <w:p>
            <w:pPr>
              <w:spacing w:after="0"/>
              <w:rPr>
                <w:sz w:val="1"/>
                <w:szCs w:val="1"/>
                <w:color w:val="auto"/>
              </w:rPr>
            </w:pPr>
          </w:p>
        </w:tc>
      </w:tr>
      <w:tr>
        <w:trPr>
          <w:trHeight w:val="220"/>
        </w:trPr>
        <w:tc>
          <w:tcPr>
            <w:tcW w:w="71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center"/>
              <w:ind w:left="671"/>
              <w:spacing w:after="0"/>
              <w:rPr>
                <w:sz w:val="20"/>
                <w:szCs w:val="20"/>
                <w:color w:val="auto"/>
              </w:rPr>
            </w:pPr>
            <w:r>
              <w:rPr>
                <w:rFonts w:ascii="Times New Roman" w:cs="Times New Roman" w:eastAsia="Times New Roman" w:hAnsi="Times New Roman"/>
                <w:sz w:val="18"/>
                <w:szCs w:val="18"/>
                <w:color w:val="auto"/>
                <w:w w:val="97"/>
              </w:rPr>
              <w:t>1.6</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center"/>
              <w:ind w:left="671"/>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5"/>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derivative net gains as of March 31, 2026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center"/>
              <w:ind w:left="671"/>
              <w:spacing w:after="0"/>
              <w:rPr>
                <w:sz w:val="20"/>
                <w:szCs w:val="20"/>
                <w:color w:val="auto"/>
              </w:rPr>
            </w:pPr>
            <w:r>
              <w:rPr>
                <w:rFonts w:ascii="Times New Roman" w:cs="Times New Roman" w:eastAsia="Times New Roman" w:hAnsi="Times New Roman"/>
                <w:sz w:val="18"/>
                <w:szCs w:val="18"/>
                <w:color w:val="auto"/>
                <w:w w:val="97"/>
              </w:rPr>
              <w:t>0.9</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center"/>
              <w:ind w:left="671"/>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39" w:lineRule="exact"/>
        <w:rPr>
          <w:sz w:val="20"/>
          <w:szCs w:val="20"/>
          <w:color w:val="auto"/>
        </w:rPr>
      </w:pPr>
    </w:p>
    <w:p>
      <w:pPr>
        <w:ind w:left="340" w:hanging="253"/>
        <w:spacing w:after="0"/>
        <w:tabs>
          <w:tab w:leader="none" w:pos="340"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outstanding contracts as of March 31, 2026 range in maturity through December 2026.</w:t>
      </w:r>
    </w:p>
    <w:p>
      <w:pPr>
        <w:spacing w:after="0" w:line="256" w:lineRule="exact"/>
        <w:rPr>
          <w:sz w:val="20"/>
          <w:szCs w:val="20"/>
          <w:color w:val="auto"/>
        </w:rPr>
      </w:pPr>
    </w:p>
    <w:p>
      <w:pPr>
        <w:ind w:right="160" w:firstLine="168"/>
        <w:spacing w:after="0" w:line="276" w:lineRule="auto"/>
        <w:rPr>
          <w:sz w:val="20"/>
          <w:szCs w:val="20"/>
          <w:color w:val="auto"/>
        </w:rPr>
      </w:pPr>
      <w:r>
        <w:rPr>
          <w:rFonts w:ascii="Times New Roman" w:cs="Times New Roman" w:eastAsia="Times New Roman" w:hAnsi="Times New Roman"/>
          <w:sz w:val="18"/>
          <w:szCs w:val="18"/>
          <w:color w:val="auto"/>
        </w:rPr>
        <w:t>As of March 31, 2026, approximately $0.3 million of realized derivative net losses, before taxes, remain in accumulated other comprehensive loss related to foreign currency contracts associated with inventory that had not yet been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20" w:firstLine="174"/>
        <w:spacing w:after="0" w:line="276" w:lineRule="auto"/>
        <w:rPr>
          <w:sz w:val="20"/>
          <w:szCs w:val="20"/>
          <w:color w:val="auto"/>
        </w:rPr>
      </w:pPr>
      <w:r>
        <w:rPr>
          <w:rFonts w:ascii="Times New Roman" w:cs="Times New Roman" w:eastAsia="Times New Roman" w:hAnsi="Times New Roman"/>
          <w:sz w:val="18"/>
          <w:szCs w:val="18"/>
          <w:color w:val="auto"/>
        </w:rPr>
        <w:t>The following table summarizes the activity in accumulated other comprehensive loss related to the derivatives held by the Company during the three months ended March 31, 2025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Before-Tax</w:t>
            </w:r>
          </w:p>
        </w:tc>
        <w:tc>
          <w:tcPr>
            <w:tcW w:w="18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Income Tax</w:t>
            </w:r>
          </w:p>
        </w:tc>
        <w:tc>
          <w:tcPr>
            <w:tcW w:w="200" w:type="dxa"/>
            <w:vAlign w:val="bottom"/>
          </w:tcPr>
          <w:p>
            <w:pPr>
              <w:spacing w:after="0"/>
              <w:rPr>
                <w:sz w:val="17"/>
                <w:szCs w:val="17"/>
                <w:color w:val="auto"/>
              </w:rPr>
            </w:pPr>
          </w:p>
        </w:tc>
        <w:tc>
          <w:tcPr>
            <w:tcW w:w="1120" w:type="dxa"/>
            <w:vAlign w:val="bottom"/>
            <w:vMerge w:val="restart"/>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6"/>
              </w:rPr>
              <w:t>After-Tax</w:t>
            </w:r>
          </w:p>
        </w:tc>
        <w:tc>
          <w:tcPr>
            <w:tcW w:w="0" w:type="dxa"/>
            <w:vAlign w:val="bottom"/>
          </w:tcPr>
          <w:p>
            <w:pPr>
              <w:spacing w:after="0"/>
              <w:rPr>
                <w:sz w:val="1"/>
                <w:szCs w:val="1"/>
                <w:color w:val="auto"/>
              </w:rPr>
            </w:pPr>
          </w:p>
        </w:tc>
      </w:tr>
      <w:tr>
        <w:trPr>
          <w:trHeight w:val="173"/>
        </w:trPr>
        <w:tc>
          <w:tcPr>
            <w:tcW w:w="7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center"/>
              <w:ind w:right="260"/>
              <w:spacing w:after="0" w:line="173" w:lineRule="exact"/>
              <w:rPr>
                <w:sz w:val="20"/>
                <w:szCs w:val="20"/>
                <w:color w:val="auto"/>
              </w:rPr>
            </w:pPr>
            <w:r>
              <w:rPr>
                <w:rFonts w:ascii="Times New Roman" w:cs="Times New Roman" w:eastAsia="Times New Roman" w:hAnsi="Times New Roman"/>
                <w:sz w:val="18"/>
                <w:szCs w:val="18"/>
                <w:b w:val="1"/>
                <w:bCs w:val="1"/>
                <w:color w:val="auto"/>
                <w:w w:val="96"/>
              </w:rPr>
              <w:t>Expense</w:t>
            </w:r>
          </w:p>
        </w:tc>
        <w:tc>
          <w:tcPr>
            <w:tcW w:w="2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7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tcPr>
          <w:p>
            <w:pPr>
              <w:spacing w:after="0"/>
              <w:rPr>
                <w:sz w:val="20"/>
                <w:szCs w:val="20"/>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(Benefit)</w:t>
            </w:r>
          </w:p>
        </w:tc>
        <w:tc>
          <w:tcPr>
            <w:tcW w:w="200" w:type="dxa"/>
            <w:vAlign w:val="bottom"/>
          </w:tcPr>
          <w:p>
            <w:pPr>
              <w:spacing w:after="0"/>
              <w:rPr>
                <w:sz w:val="20"/>
                <w:szCs w:val="20"/>
                <w:color w:val="auto"/>
              </w:rPr>
            </w:pPr>
          </w:p>
        </w:tc>
        <w:tc>
          <w:tcPr>
            <w:tcW w:w="112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220"/>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derivative net gains as of December 31, 2024</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center"/>
              <w:ind w:left="711"/>
              <w:spacing w:after="0"/>
              <w:rPr>
                <w:sz w:val="20"/>
                <w:szCs w:val="20"/>
                <w:color w:val="auto"/>
              </w:rPr>
            </w:pPr>
            <w:r>
              <w:rPr>
                <w:rFonts w:ascii="Times New Roman" w:cs="Times New Roman" w:eastAsia="Times New Roman" w:hAnsi="Times New Roman"/>
                <w:sz w:val="18"/>
                <w:szCs w:val="18"/>
                <w:color w:val="auto"/>
                <w:w w:val="97"/>
              </w:rPr>
              <w:t>2.8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center"/>
              <w:ind w:left="671"/>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7"/>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changes in fair value of derivatives: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ind w:left="711"/>
              <w:spacing w:after="0"/>
              <w:rPr>
                <w:sz w:val="20"/>
                <w:szCs w:val="20"/>
                <w:color w:val="auto"/>
              </w:rPr>
            </w:pPr>
            <w:r>
              <w:rPr>
                <w:rFonts w:ascii="Times New Roman" w:cs="Times New Roman" w:eastAsia="Times New Roman" w:hAnsi="Times New Roman"/>
                <w:sz w:val="18"/>
                <w:szCs w:val="18"/>
                <w:color w:val="auto"/>
                <w:w w:val="97"/>
              </w:rPr>
              <w:t>0.2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671"/>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0"/>
        </w:trPr>
        <w:tc>
          <w:tcPr>
            <w:tcW w:w="7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w w:val="97"/>
              </w:rPr>
              <w:t>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center"/>
              <w:ind w:left="671"/>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7"/>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gains reclassified from accumulated other comprehensive loss into income: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center"/>
              <w:ind w:left="671"/>
              <w:spacing w:after="0"/>
              <w:rPr>
                <w:sz w:val="20"/>
                <w:szCs w:val="20"/>
                <w:color w:val="auto"/>
              </w:rPr>
            </w:pPr>
            <w:r>
              <w:rPr>
                <w:rFonts w:ascii="Times New Roman" w:cs="Times New Roman" w:eastAsia="Times New Roman" w:hAnsi="Times New Roman"/>
                <w:sz w:val="18"/>
                <w:szCs w:val="18"/>
                <w:color w:val="auto"/>
                <w:w w:val="98"/>
              </w:rPr>
              <w:t>(0.7)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center"/>
              <w:ind w:left="651"/>
              <w:spacing w:after="0"/>
              <w:rPr>
                <w:sz w:val="20"/>
                <w:szCs w:val="20"/>
                <w:color w:val="auto"/>
              </w:rPr>
            </w:pPr>
            <w:r>
              <w:rPr>
                <w:rFonts w:ascii="Times New Roman" w:cs="Times New Roman" w:eastAsia="Times New Roman" w:hAnsi="Times New Roman"/>
                <w:sz w:val="18"/>
                <w:szCs w:val="18"/>
                <w:color w:val="auto"/>
                <w:w w:val="98"/>
              </w:rPr>
              <w:t>(1.6)</w:t>
            </w:r>
          </w:p>
        </w:tc>
        <w:tc>
          <w:tcPr>
            <w:tcW w:w="0" w:type="dxa"/>
            <w:vAlign w:val="bottom"/>
          </w:tcPr>
          <w:p>
            <w:pPr>
              <w:spacing w:after="0"/>
              <w:rPr>
                <w:sz w:val="1"/>
                <w:szCs w:val="1"/>
                <w:color w:val="auto"/>
              </w:rPr>
            </w:pPr>
          </w:p>
        </w:tc>
      </w:tr>
      <w:tr>
        <w:trPr>
          <w:trHeight w:val="227"/>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Treasury rate locks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ind w:left="671"/>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651"/>
              <w:spacing w:after="0"/>
              <w:rPr>
                <w:sz w:val="20"/>
                <w:szCs w:val="20"/>
                <w:color w:val="auto"/>
              </w:rPr>
            </w:pPr>
            <w:r>
              <w:rPr>
                <w:rFonts w:ascii="Times New Roman" w:cs="Times New Roman" w:eastAsia="Times New Roman" w:hAnsi="Times New Roman"/>
                <w:sz w:val="18"/>
                <w:szCs w:val="18"/>
                <w:color w:val="auto"/>
                <w:w w:val="98"/>
              </w:rPr>
              <w:t>(0.1)</w:t>
            </w:r>
          </w:p>
        </w:tc>
        <w:tc>
          <w:tcPr>
            <w:tcW w:w="0" w:type="dxa"/>
            <w:vAlign w:val="bottom"/>
          </w:tcPr>
          <w:p>
            <w:pPr>
              <w:spacing w:after="0"/>
              <w:rPr>
                <w:sz w:val="1"/>
                <w:szCs w:val="1"/>
                <w:color w:val="auto"/>
              </w:rPr>
            </w:pPr>
          </w:p>
        </w:tc>
      </w:tr>
      <w:tr>
        <w:trPr>
          <w:trHeight w:val="220"/>
        </w:trPr>
        <w:tc>
          <w:tcPr>
            <w:tcW w:w="71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left="671"/>
              <w:spacing w:after="0"/>
              <w:rPr>
                <w:sz w:val="20"/>
                <w:szCs w:val="20"/>
                <w:color w:val="auto"/>
              </w:rPr>
            </w:pPr>
            <w:r>
              <w:rPr>
                <w:rFonts w:ascii="Times New Roman" w:cs="Times New Roman" w:eastAsia="Times New Roman" w:hAnsi="Times New Roman"/>
                <w:sz w:val="18"/>
                <w:szCs w:val="18"/>
                <w:color w:val="auto"/>
                <w:w w:val="98"/>
              </w:rPr>
              <w:t>(0.8)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651"/>
              <w:spacing w:after="0"/>
              <w:rPr>
                <w:sz w:val="20"/>
                <w:szCs w:val="20"/>
                <w:color w:val="auto"/>
              </w:rPr>
            </w:pPr>
            <w:r>
              <w:rPr>
                <w:rFonts w:ascii="Times New Roman" w:cs="Times New Roman" w:eastAsia="Times New Roman" w:hAnsi="Times New Roman"/>
                <w:sz w:val="18"/>
                <w:szCs w:val="18"/>
                <w:color w:val="auto"/>
                <w:w w:val="98"/>
              </w:rPr>
              <w:t>(1.7)</w:t>
            </w:r>
          </w:p>
        </w:tc>
        <w:tc>
          <w:tcPr>
            <w:tcW w:w="0" w:type="dxa"/>
            <w:vAlign w:val="bottom"/>
          </w:tcPr>
          <w:p>
            <w:pPr>
              <w:spacing w:after="0"/>
              <w:rPr>
                <w:sz w:val="1"/>
                <w:szCs w:val="1"/>
                <w:color w:val="auto"/>
              </w:rPr>
            </w:pPr>
          </w:p>
        </w:tc>
      </w:tr>
      <w:tr>
        <w:trPr>
          <w:trHeight w:val="245"/>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derivative net gains as of March 31, 2025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center"/>
              <w:ind w:left="711"/>
              <w:spacing w:after="0"/>
              <w:rPr>
                <w:sz w:val="20"/>
                <w:szCs w:val="20"/>
                <w:color w:val="auto"/>
              </w:rPr>
            </w:pPr>
            <w:r>
              <w:rPr>
                <w:rFonts w:ascii="Times New Roman" w:cs="Times New Roman" w:eastAsia="Times New Roman" w:hAnsi="Times New Roman"/>
                <w:sz w:val="18"/>
                <w:szCs w:val="18"/>
                <w:color w:val="auto"/>
                <w:w w:val="97"/>
              </w:rPr>
              <w:t>2.2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center"/>
              <w:ind w:left="671"/>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Investment Hedges</w:t>
      </w:r>
    </w:p>
    <w:p>
      <w:pPr>
        <w:spacing w:after="0" w:line="248" w:lineRule="exact"/>
        <w:rPr>
          <w:sz w:val="20"/>
          <w:szCs w:val="20"/>
          <w:color w:val="auto"/>
        </w:rPr>
      </w:pPr>
    </w:p>
    <w:p>
      <w:pPr>
        <w:ind w:right="100" w:firstLine="174"/>
        <w:spacing w:after="0" w:line="253" w:lineRule="auto"/>
        <w:rPr>
          <w:sz w:val="20"/>
          <w:szCs w:val="20"/>
          <w:color w:val="auto"/>
        </w:rPr>
      </w:pPr>
      <w:r>
        <w:rPr>
          <w:rFonts w:ascii="Times New Roman" w:cs="Times New Roman" w:eastAsia="Times New Roman" w:hAnsi="Times New Roman"/>
          <w:sz w:val="18"/>
          <w:szCs w:val="18"/>
          <w:color w:val="auto"/>
        </w:rPr>
        <w:t>The Company uses non-derivative and derivative instruments to hedge a portion of its net investment in foreign operations against adverse movements in exchange rates. For instruments that are designated as hedges of net investments in foreign operations, changes in the fair value of the derivative instruments are recorded in foreign currency translation adjustments, a component of accumulated other comprehensive loss, to offset changes in the value of the net investments being hedged. When the net investment in foreign operations is sold or substantially liquidates, the amounts recorded in accumulated other comprehensive loss are reclassified to earnings. To the extent foreign currency denominated debt is de-designated from a net investment hedge relationship, changes in the value of the foreign currency denominated debt are recorded in earnings through the maturity date.</w:t>
      </w:r>
    </w:p>
    <w:p>
      <w:pPr>
        <w:spacing w:after="0" w:line="210" w:lineRule="exact"/>
        <w:rPr>
          <w:sz w:val="20"/>
          <w:szCs w:val="20"/>
          <w:color w:val="auto"/>
        </w:rPr>
      </w:pPr>
    </w:p>
    <w:p>
      <w:pPr>
        <w:ind w:right="80" w:firstLine="178"/>
        <w:spacing w:after="0" w:line="252" w:lineRule="auto"/>
        <w:rPr>
          <w:sz w:val="20"/>
          <w:szCs w:val="20"/>
          <w:color w:val="auto"/>
        </w:rPr>
      </w:pPr>
      <w:r>
        <w:rPr>
          <w:rFonts w:ascii="Times New Roman" w:cs="Times New Roman" w:eastAsia="Times New Roman" w:hAnsi="Times New Roman"/>
          <w:sz w:val="18"/>
          <w:szCs w:val="18"/>
          <w:color w:val="auto"/>
        </w:rPr>
        <w:t>On November 4, 2024, the Company entered into $600.0 million cross currency swap contracts comprising a $200.0 million tranche with a three-years tenor, $200.0 million tranche with a five-years tenor and $200.0 million tranche with a seven-years tenor as a hedge of its net investment in foreign operations to offset foreign currency translation gains or losses on the net investment. The cross currency swap contracts have an expiration date of November 6, 2027, November 6, 2029 and November 6, 2031, respectively. At maturity of the cross currency swap contracts, the Company is expected to deliver the notional amount of approximately €385.5 million (or approximately $444.5 million as of March 31, 2026) and Fr.155.5 million (or approximately $194.3 million as of March 31, 2026), respectively, and receive $600.0 million from the counterparties. The Company receives quarterly interest payments from the counterparties based on a fixed interest rate until maturity of the cross currency swap.</w:t>
      </w: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the notional values of the instrument designated as a net investment hedge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20" w:type="dxa"/>
            <w:vAlign w:val="bottom"/>
            <w:gridSpan w:val="5"/>
          </w:tcPr>
          <w:p>
            <w:pPr>
              <w:ind w:left="920"/>
              <w:spacing w:after="0"/>
              <w:rPr>
                <w:sz w:val="20"/>
                <w:szCs w:val="20"/>
                <w:color w:val="auto"/>
              </w:rPr>
            </w:pPr>
            <w:r>
              <w:rPr>
                <w:rFonts w:ascii="Times New Roman" w:cs="Times New Roman" w:eastAsia="Times New Roman" w:hAnsi="Times New Roman"/>
                <w:sz w:val="18"/>
                <w:szCs w:val="18"/>
                <w:b w:val="1"/>
                <w:bCs w:val="1"/>
                <w:color w:val="auto"/>
              </w:rPr>
              <w:t>Notional Amount as of</w:t>
            </w:r>
          </w:p>
        </w:tc>
      </w:tr>
      <w:tr>
        <w:trPr>
          <w:trHeight w:val="220"/>
        </w:trPr>
        <w:tc>
          <w:tcPr>
            <w:tcW w:w="38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8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 w:type="dxa"/>
            <w:vAlign w:val="bottom"/>
          </w:tcPr>
          <w:p>
            <w:pPr>
              <w:spacing w:after="0"/>
              <w:rPr>
                <w:sz w:val="19"/>
                <w:szCs w:val="19"/>
                <w:color w:val="auto"/>
              </w:rPr>
            </w:pPr>
          </w:p>
        </w:tc>
      </w:tr>
      <w:tr>
        <w:trPr>
          <w:trHeight w:val="220"/>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Cross currency swap contracts</w:t>
            </w:r>
          </w:p>
        </w:tc>
        <w:tc>
          <w:tcPr>
            <w:tcW w:w="33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0" w:type="dxa"/>
            <w:vAlign w:val="bottom"/>
          </w:tcPr>
          <w:p>
            <w:pPr>
              <w:spacing w:after="0"/>
              <w:rPr>
                <w:sz w:val="19"/>
                <w:szCs w:val="19"/>
                <w:color w:val="auto"/>
              </w:rPr>
            </w:pPr>
          </w:p>
        </w:tc>
      </w:tr>
      <w:tr>
        <w:trPr>
          <w:trHeight w:val="880"/>
        </w:trPr>
        <w:tc>
          <w:tcPr>
            <w:tcW w:w="3860" w:type="dxa"/>
            <w:vAlign w:val="bottom"/>
          </w:tcPr>
          <w:p>
            <w:pPr>
              <w:spacing w:after="0"/>
              <w:rPr>
                <w:sz w:val="24"/>
                <w:szCs w:val="24"/>
                <w:color w:val="auto"/>
              </w:rPr>
            </w:pPr>
          </w:p>
        </w:tc>
        <w:tc>
          <w:tcPr>
            <w:tcW w:w="3320" w:type="dxa"/>
            <w:vAlign w:val="bottom"/>
          </w:tcPr>
          <w:p>
            <w:pPr>
              <w:jc w:val="right"/>
              <w:ind w:right="1371"/>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3"/>
        </w:trPr>
        <w:tc>
          <w:tcPr>
            <w:tcW w:w="3860" w:type="dxa"/>
            <w:vAlign w:val="bottom"/>
            <w:tcBorders>
              <w:bottom w:val="single" w:sz="8" w:color="9A9A9A"/>
            </w:tcBorders>
          </w:tcPr>
          <w:p>
            <w:pPr>
              <w:spacing w:after="0"/>
              <w:rPr>
                <w:sz w:val="9"/>
                <w:szCs w:val="9"/>
                <w:color w:val="auto"/>
              </w:rPr>
            </w:pPr>
          </w:p>
        </w:tc>
        <w:tc>
          <w:tcPr>
            <w:tcW w:w="33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260" w:firstLine="174"/>
        <w:spacing w:after="0" w:line="276" w:lineRule="auto"/>
        <w:rPr>
          <w:sz w:val="20"/>
          <w:szCs w:val="20"/>
          <w:color w:val="auto"/>
        </w:rPr>
      </w:pPr>
      <w:r>
        <w:rPr>
          <w:rFonts w:ascii="Times New Roman" w:cs="Times New Roman" w:eastAsia="Times New Roman" w:hAnsi="Times New Roman"/>
          <w:sz w:val="18"/>
          <w:szCs w:val="18"/>
          <w:color w:val="auto"/>
        </w:rPr>
        <w:t>The following table summarizes the changes in the fair value of the cross currency swap contracts designated as a net investment hedge during the three months ended March 31, 2026 and 2025 (in millions):</w:t>
      </w:r>
    </w:p>
    <w:p>
      <w:pPr>
        <w:spacing w:after="0" w:line="217"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b w:val="1"/>
          <w:bCs w:val="1"/>
          <w:color w:val="auto"/>
        </w:rPr>
        <w:t>Gain (Loss) Recognized in Other Comprehensive Income</w:t>
      </w:r>
    </w:p>
    <w:p>
      <w:pPr>
        <w:jc w:val="center"/>
        <w:ind w:left="6760"/>
        <w:spacing w:after="0" w:line="216" w:lineRule="auto"/>
        <w:rPr>
          <w:sz w:val="20"/>
          <w:szCs w:val="20"/>
          <w:color w:val="auto"/>
        </w:rPr>
      </w:pPr>
      <w:r>
        <w:rPr>
          <w:rFonts w:ascii="Times New Roman" w:cs="Times New Roman" w:eastAsia="Times New Roman" w:hAnsi="Times New Roman"/>
          <w:sz w:val="18"/>
          <w:szCs w:val="18"/>
          <w:b w:val="1"/>
          <w:bCs w:val="1"/>
          <w:color w:val="auto"/>
        </w:rPr>
        <w:t>for the</w:t>
      </w:r>
    </w:p>
    <w:p>
      <w:pPr>
        <w:ind w:left="82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7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jc w:val="center"/>
              <w:ind w:right="300"/>
              <w:spacing w:after="0" w:line="167" w:lineRule="exact"/>
              <w:rPr>
                <w:sz w:val="20"/>
                <w:szCs w:val="20"/>
                <w:color w:val="auto"/>
              </w:rPr>
            </w:pPr>
            <w:r>
              <w:rPr>
                <w:rFonts w:ascii="Times New Roman" w:cs="Times New Roman" w:eastAsia="Times New Roman" w:hAnsi="Times New Roman"/>
                <w:sz w:val="18"/>
                <w:szCs w:val="18"/>
                <w:b w:val="1"/>
                <w:bCs w:val="1"/>
                <w:color w:val="auto"/>
                <w:w w:val="94"/>
              </w:rPr>
              <w:t>Before-Tax</w:t>
            </w:r>
          </w:p>
        </w:tc>
        <w:tc>
          <w:tcPr>
            <w:tcW w:w="1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2"/>
          </w:tcPr>
          <w:p>
            <w:pPr>
              <w:jc w:val="center"/>
              <w:ind w:right="280"/>
              <w:spacing w:after="0" w:line="167" w:lineRule="exact"/>
              <w:rPr>
                <w:sz w:val="20"/>
                <w:szCs w:val="20"/>
                <w:color w:val="auto"/>
              </w:rPr>
            </w:pPr>
            <w:r>
              <w:rPr>
                <w:rFonts w:ascii="Times New Roman" w:cs="Times New Roman" w:eastAsia="Times New Roman" w:hAnsi="Times New Roman"/>
                <w:sz w:val="18"/>
                <w:szCs w:val="18"/>
                <w:b w:val="1"/>
                <w:bCs w:val="1"/>
                <w:color w:val="auto"/>
                <w:w w:val="98"/>
              </w:rPr>
              <w:t>Income Tax</w:t>
            </w: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center"/>
              <w:ind w:right="131"/>
              <w:spacing w:after="0" w:line="167" w:lineRule="exact"/>
              <w:rPr>
                <w:sz w:val="20"/>
                <w:szCs w:val="20"/>
                <w:color w:val="auto"/>
              </w:rPr>
            </w:pPr>
            <w:r>
              <w:rPr>
                <w:rFonts w:ascii="Times New Roman" w:cs="Times New Roman" w:eastAsia="Times New Roman" w:hAnsi="Times New Roman"/>
                <w:sz w:val="18"/>
                <w:szCs w:val="18"/>
                <w:b w:val="1"/>
                <w:bCs w:val="1"/>
                <w:color w:val="auto"/>
                <w:w w:val="96"/>
              </w:rPr>
              <w:t>After-Tax</w:t>
            </w:r>
          </w:p>
        </w:tc>
      </w:tr>
      <w:tr>
        <w:trPr>
          <w:trHeight w:val="237"/>
        </w:trPr>
        <w:tc>
          <w:tcPr>
            <w:tcW w:w="6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5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Expense (Benefit)</w:t>
            </w:r>
          </w:p>
        </w:tc>
        <w:tc>
          <w:tcPr>
            <w:tcW w:w="220" w:type="dxa"/>
            <w:vAlign w:val="bottom"/>
          </w:tcPr>
          <w:p>
            <w:pPr>
              <w:spacing w:after="0"/>
              <w:rPr>
                <w:sz w:val="20"/>
                <w:szCs w:val="20"/>
                <w:color w:val="auto"/>
              </w:rPr>
            </w:pPr>
          </w:p>
        </w:tc>
        <w:tc>
          <w:tcPr>
            <w:tcW w:w="120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8"/>
              </w:rPr>
              <w:t>Amount</w:t>
            </w:r>
          </w:p>
        </w:tc>
      </w:tr>
      <w:tr>
        <w:trPr>
          <w:trHeight w:val="223"/>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2026</w:t>
            </w: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2"/>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Transactions Not Designated as Hedging Instruments</w:t>
      </w:r>
    </w:p>
    <w:p>
      <w:pPr>
        <w:spacing w:after="0" w:line="250" w:lineRule="exact"/>
        <w:rPr>
          <w:sz w:val="20"/>
          <w:szCs w:val="20"/>
          <w:color w:val="auto"/>
        </w:rPr>
      </w:pPr>
    </w:p>
    <w:p>
      <w:pPr>
        <w:ind w:right="120" w:firstLine="174"/>
        <w:spacing w:after="0" w:line="254" w:lineRule="auto"/>
        <w:rPr>
          <w:sz w:val="20"/>
          <w:szCs w:val="20"/>
          <w:color w:val="auto"/>
        </w:rPr>
      </w:pPr>
      <w:r>
        <w:rPr>
          <w:rFonts w:ascii="Times New Roman" w:cs="Times New Roman" w:eastAsia="Times New Roman" w:hAnsi="Times New Roman"/>
          <w:sz w:val="18"/>
          <w:szCs w:val="18"/>
          <w:color w:val="auto"/>
        </w:rPr>
        <w:t>The Company enters into foreign currency contracts to economically hedge a portion of its receivables and payables on the Company and its subsidiaries’ balance sheets that are denominated in foreign currencies other than the functional currency. These contracts are classified as non-designated derivative instruments. Gains and losses on such contracts are substantially offset by losses and gains on the remeasurement of the underlying asset or liability being hedged and are immediately recognized into earnings. As of March 31, 2026 and December 31, 2025, the Company had outstanding foreign currency contracts with a notional amount of approximately $2,445.6 million and $2,865.7 million, respectively.</w:t>
      </w: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the results on net income of derivatives not designated as hedging instruments (in millions):</w:t>
      </w:r>
    </w:p>
    <w:p>
      <w:pPr>
        <w:spacing w:after="0" w:line="284" w:lineRule="exact"/>
        <w:rPr>
          <w:sz w:val="20"/>
          <w:szCs w:val="20"/>
          <w:color w:val="auto"/>
        </w:rPr>
      </w:pPr>
    </w:p>
    <w:p>
      <w:pPr>
        <w:jc w:val="center"/>
        <w:ind w:left="8280"/>
        <w:spacing w:after="0"/>
        <w:rPr>
          <w:sz w:val="20"/>
          <w:szCs w:val="20"/>
          <w:color w:val="auto"/>
        </w:rPr>
      </w:pPr>
      <w:r>
        <w:rPr>
          <w:rFonts w:ascii="Times New Roman" w:cs="Times New Roman" w:eastAsia="Times New Roman" w:hAnsi="Times New Roman"/>
          <w:sz w:val="17"/>
          <w:szCs w:val="17"/>
          <w:b w:val="1"/>
          <w:bCs w:val="1"/>
          <w:color w:val="auto"/>
        </w:rPr>
        <w:t>Gain (Loss) Recognized in Net Income</w:t>
      </w:r>
    </w:p>
    <w:p>
      <w:pPr>
        <w:spacing w:after="0" w:line="13" w:lineRule="exact"/>
        <w:rPr>
          <w:sz w:val="20"/>
          <w:szCs w:val="20"/>
          <w:color w:val="auto"/>
        </w:rPr>
      </w:pPr>
    </w:p>
    <w:p>
      <w:pPr>
        <w:jc w:val="center"/>
        <w:ind w:left="82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20" w:type="dxa"/>
            <w:vAlign w:val="bottom"/>
          </w:tcPr>
          <w:p>
            <w:pPr>
              <w:spacing w:after="0"/>
              <w:rPr>
                <w:sz w:val="19"/>
                <w:szCs w:val="19"/>
                <w:color w:val="auto"/>
              </w:rPr>
            </w:pPr>
          </w:p>
        </w:tc>
        <w:tc>
          <w:tcPr>
            <w:tcW w:w="4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Classification of Gain (Loss)</w:t>
            </w:r>
          </w:p>
        </w:tc>
        <w:tc>
          <w:tcPr>
            <w:tcW w:w="1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97"/>
              </w:rPr>
              <w:t>March 31, 2025</w:t>
            </w:r>
          </w:p>
        </w:tc>
      </w:tr>
      <w:tr>
        <w:trPr>
          <w:trHeight w:val="220"/>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4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Other expense, net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table below sets forth the fair value of derivative instruments as of March 31, 2026 (in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80" w:type="dxa"/>
            <w:vAlign w:val="bottom"/>
          </w:tcPr>
          <w:p>
            <w:pPr>
              <w:spacing w:after="0"/>
              <w:rPr>
                <w:sz w:val="17"/>
                <w:szCs w:val="17"/>
                <w:color w:val="auto"/>
              </w:rPr>
            </w:pPr>
          </w:p>
        </w:tc>
        <w:tc>
          <w:tcPr>
            <w:tcW w:w="2720" w:type="dxa"/>
            <w:vAlign w:val="bottom"/>
            <w:gridSpan w:val="3"/>
          </w:tcPr>
          <w:p>
            <w:pPr>
              <w:jc w:val="center"/>
              <w:ind w:left="851"/>
              <w:spacing w:after="0"/>
              <w:rPr>
                <w:sz w:val="20"/>
                <w:szCs w:val="20"/>
                <w:color w:val="auto"/>
              </w:rPr>
            </w:pPr>
            <w:r>
              <w:rPr>
                <w:rFonts w:ascii="Times New Roman" w:cs="Times New Roman" w:eastAsia="Times New Roman" w:hAnsi="Times New Roman"/>
                <w:sz w:val="18"/>
                <w:szCs w:val="18"/>
                <w:b w:val="1"/>
                <w:bCs w:val="1"/>
                <w:color w:val="auto"/>
                <w:w w:val="98"/>
              </w:rPr>
              <w:t>Asset Derivatives as of</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80" w:type="dxa"/>
            <w:vAlign w:val="bottom"/>
            <w:gridSpan w:val="3"/>
          </w:tcPr>
          <w:p>
            <w:pPr>
              <w:jc w:val="center"/>
              <w:ind w:left="871"/>
              <w:spacing w:after="0"/>
              <w:rPr>
                <w:sz w:val="20"/>
                <w:szCs w:val="20"/>
                <w:color w:val="auto"/>
              </w:rPr>
            </w:pPr>
            <w:r>
              <w:rPr>
                <w:rFonts w:ascii="Times New Roman" w:cs="Times New Roman" w:eastAsia="Times New Roman" w:hAnsi="Times New Roman"/>
                <w:sz w:val="18"/>
                <w:szCs w:val="18"/>
                <w:b w:val="1"/>
                <w:bCs w:val="1"/>
                <w:color w:val="auto"/>
                <w:w w:val="99"/>
              </w:rPr>
              <w:t>Liability Derivatives as of</w:t>
            </w:r>
          </w:p>
        </w:tc>
        <w:tc>
          <w:tcPr>
            <w:tcW w:w="940" w:type="dxa"/>
            <w:vAlign w:val="bottom"/>
          </w:tcPr>
          <w:p>
            <w:pPr>
              <w:spacing w:after="0"/>
              <w:rPr>
                <w:sz w:val="17"/>
                <w:szCs w:val="17"/>
                <w:color w:val="auto"/>
              </w:rPr>
            </w:pPr>
          </w:p>
        </w:tc>
      </w:tr>
      <w:tr>
        <w:trPr>
          <w:trHeight w:val="237"/>
        </w:trPr>
        <w:tc>
          <w:tcPr>
            <w:tcW w:w="3480" w:type="dxa"/>
            <w:vAlign w:val="bottom"/>
          </w:tcPr>
          <w:p>
            <w:pPr>
              <w:spacing w:after="0"/>
              <w:rPr>
                <w:sz w:val="20"/>
                <w:szCs w:val="20"/>
                <w:color w:val="auto"/>
              </w:rPr>
            </w:pPr>
          </w:p>
        </w:tc>
        <w:tc>
          <w:tcPr>
            <w:tcW w:w="2600" w:type="dxa"/>
            <w:vAlign w:val="bottom"/>
            <w:tcBorders>
              <w:bottom w:val="single" w:sz="8" w:color="auto"/>
            </w:tcBorders>
            <w:gridSpan w:val="2"/>
          </w:tcPr>
          <w:p>
            <w:pPr>
              <w:jc w:val="center"/>
              <w:ind w:left="971"/>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960" w:type="dxa"/>
            <w:vAlign w:val="bottom"/>
            <w:tcBorders>
              <w:bottom w:val="single" w:sz="8" w:color="auto"/>
            </w:tcBorders>
            <w:gridSpan w:val="2"/>
          </w:tcPr>
          <w:p>
            <w:pPr>
              <w:jc w:val="center"/>
              <w:ind w:left="971"/>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3"/>
        </w:trPr>
        <w:tc>
          <w:tcPr>
            <w:tcW w:w="3480" w:type="dxa"/>
            <w:vAlign w:val="bottom"/>
          </w:tcPr>
          <w:p>
            <w:pPr>
              <w:spacing w:after="0"/>
              <w:rPr>
                <w:sz w:val="19"/>
                <w:szCs w:val="19"/>
                <w:color w:val="auto"/>
              </w:rPr>
            </w:pPr>
          </w:p>
        </w:tc>
        <w:tc>
          <w:tcPr>
            <w:tcW w:w="26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20" w:type="dxa"/>
            <w:vAlign w:val="bottom"/>
          </w:tcPr>
          <w:p>
            <w:pPr>
              <w:spacing w:after="0"/>
              <w:rPr>
                <w:sz w:val="19"/>
                <w:szCs w:val="19"/>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94"/>
              </w:rPr>
              <w:t>Fair Value</w:t>
            </w:r>
          </w:p>
        </w:tc>
        <w:tc>
          <w:tcPr>
            <w:tcW w:w="80" w:type="dxa"/>
            <w:vAlign w:val="bottom"/>
          </w:tcPr>
          <w:p>
            <w:pPr>
              <w:spacing w:after="0"/>
              <w:rPr>
                <w:sz w:val="19"/>
                <w:szCs w:val="19"/>
                <w:color w:val="auto"/>
              </w:rPr>
            </w:pPr>
          </w:p>
        </w:tc>
        <w:tc>
          <w:tcPr>
            <w:tcW w:w="296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20" w:type="dxa"/>
            <w:vAlign w:val="bottom"/>
          </w:tcPr>
          <w:p>
            <w:pPr>
              <w:spacing w:after="0"/>
              <w:rPr>
                <w:sz w:val="19"/>
                <w:szCs w:val="19"/>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94"/>
              </w:rPr>
              <w:t>Fair Value</w:t>
            </w:r>
          </w:p>
        </w:tc>
      </w:tr>
      <w:tr>
        <w:trPr>
          <w:trHeight w:val="153"/>
        </w:trPr>
        <w:tc>
          <w:tcPr>
            <w:tcW w:w="3480" w:type="dxa"/>
            <w:vAlign w:val="bottom"/>
            <w:tcBorders>
              <w:top w:val="single" w:sz="8" w:color="CCEEFF"/>
            </w:tcBorders>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Derivative instruments designated as hedging</w:t>
            </w:r>
          </w:p>
        </w:tc>
        <w:tc>
          <w:tcPr>
            <w:tcW w:w="2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r>
      <w:tr>
        <w:trPr>
          <w:trHeight w:val="24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instruments:</w:t>
            </w: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27"/>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7"/>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Cross currency swap contracts</w:t>
            </w: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173"/>
        </w:trPr>
        <w:tc>
          <w:tcPr>
            <w:tcW w:w="348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Derivative instruments not designated as</w:t>
            </w:r>
          </w:p>
        </w:tc>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3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hedging instruments:</w:t>
            </w:r>
          </w:p>
        </w:tc>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0"/>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contracts</w:t>
            </w:r>
            <w:r>
              <w:rPr>
                <w:rFonts w:ascii="Times New Roman" w:cs="Times New Roman" w:eastAsia="Times New Roman" w:hAnsi="Times New Roman"/>
                <w:sz w:val="9"/>
                <w:szCs w:val="9"/>
                <w:color w:val="auto"/>
              </w:rPr>
              <w:t>(1)</w:t>
            </w: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20"/>
                <w:szCs w:val="20"/>
                <w:color w:val="auto"/>
              </w:rPr>
            </w:pPr>
          </w:p>
        </w:tc>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0"/>
        </w:trPr>
        <w:tc>
          <w:tcPr>
            <w:tcW w:w="3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derivative instruments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0"/>
        </w:trPr>
        <w:tc>
          <w:tcPr>
            <w:tcW w:w="34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17" w:lineRule="exact"/>
        <w:rPr>
          <w:sz w:val="20"/>
          <w:szCs w:val="20"/>
          <w:color w:val="auto"/>
        </w:rPr>
      </w:pPr>
    </w:p>
    <w:p>
      <w:pPr>
        <w:ind w:left="340" w:hanging="253"/>
        <w:spacing w:after="0"/>
        <w:tabs>
          <w:tab w:leader="none" w:pos="340"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outstanding contracts as of March 31, 2026 range in maturity through May 2026.</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table below sets forth the fair value of derivative instruments as of December 31, 2025 (in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80" w:type="dxa"/>
            <w:vAlign w:val="bottom"/>
          </w:tcPr>
          <w:p>
            <w:pPr>
              <w:spacing w:after="0"/>
              <w:rPr>
                <w:sz w:val="17"/>
                <w:szCs w:val="17"/>
                <w:color w:val="auto"/>
              </w:rPr>
            </w:pPr>
          </w:p>
        </w:tc>
        <w:tc>
          <w:tcPr>
            <w:tcW w:w="2700" w:type="dxa"/>
            <w:vAlign w:val="bottom"/>
            <w:gridSpan w:val="3"/>
          </w:tcPr>
          <w:p>
            <w:pPr>
              <w:jc w:val="center"/>
              <w:ind w:left="871"/>
              <w:spacing w:after="0"/>
              <w:rPr>
                <w:sz w:val="20"/>
                <w:szCs w:val="20"/>
                <w:color w:val="auto"/>
              </w:rPr>
            </w:pPr>
            <w:r>
              <w:rPr>
                <w:rFonts w:ascii="Times New Roman" w:cs="Times New Roman" w:eastAsia="Times New Roman" w:hAnsi="Times New Roman"/>
                <w:sz w:val="18"/>
                <w:szCs w:val="18"/>
                <w:b w:val="1"/>
                <w:bCs w:val="1"/>
                <w:color w:val="auto"/>
                <w:w w:val="98"/>
              </w:rPr>
              <w:t>Asset Derivatives as of</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80" w:type="dxa"/>
            <w:vAlign w:val="bottom"/>
            <w:gridSpan w:val="3"/>
          </w:tcPr>
          <w:p>
            <w:pPr>
              <w:jc w:val="center"/>
              <w:ind w:left="851"/>
              <w:spacing w:after="0"/>
              <w:rPr>
                <w:sz w:val="20"/>
                <w:szCs w:val="20"/>
                <w:color w:val="auto"/>
              </w:rPr>
            </w:pPr>
            <w:r>
              <w:rPr>
                <w:rFonts w:ascii="Times New Roman" w:cs="Times New Roman" w:eastAsia="Times New Roman" w:hAnsi="Times New Roman"/>
                <w:sz w:val="18"/>
                <w:szCs w:val="18"/>
                <w:b w:val="1"/>
                <w:bCs w:val="1"/>
                <w:color w:val="auto"/>
                <w:w w:val="98"/>
              </w:rPr>
              <w:t>Liability Derivatives as of</w:t>
            </w:r>
          </w:p>
        </w:tc>
        <w:tc>
          <w:tcPr>
            <w:tcW w:w="940" w:type="dxa"/>
            <w:vAlign w:val="bottom"/>
          </w:tcPr>
          <w:p>
            <w:pPr>
              <w:spacing w:after="0"/>
              <w:rPr>
                <w:sz w:val="17"/>
                <w:szCs w:val="17"/>
                <w:color w:val="auto"/>
              </w:rPr>
            </w:pPr>
          </w:p>
        </w:tc>
      </w:tr>
      <w:tr>
        <w:trPr>
          <w:trHeight w:val="237"/>
        </w:trPr>
        <w:tc>
          <w:tcPr>
            <w:tcW w:w="3480" w:type="dxa"/>
            <w:vAlign w:val="bottom"/>
          </w:tcPr>
          <w:p>
            <w:pPr>
              <w:spacing w:after="0"/>
              <w:rPr>
                <w:sz w:val="20"/>
                <w:szCs w:val="20"/>
                <w:color w:val="auto"/>
              </w:rPr>
            </w:pPr>
          </w:p>
        </w:tc>
        <w:tc>
          <w:tcPr>
            <w:tcW w:w="2580" w:type="dxa"/>
            <w:vAlign w:val="bottom"/>
            <w:tcBorders>
              <w:bottom w:val="single" w:sz="8" w:color="auto"/>
            </w:tcBorders>
            <w:gridSpan w:val="2"/>
          </w:tcPr>
          <w:p>
            <w:pPr>
              <w:jc w:val="center"/>
              <w:ind w:left="971"/>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tcBorders>
              <w:bottom w:val="single" w:sz="8" w:color="auto"/>
            </w:tcBorders>
            <w:gridSpan w:val="2"/>
          </w:tcPr>
          <w:p>
            <w:pPr>
              <w:jc w:val="center"/>
              <w:ind w:left="971"/>
              <w:spacing w:after="0"/>
              <w:rPr>
                <w:sz w:val="20"/>
                <w:szCs w:val="20"/>
                <w:color w:val="auto"/>
              </w:rPr>
            </w:pPr>
            <w:r>
              <w:rPr>
                <w:rFonts w:ascii="Times New Roman" w:cs="Times New Roman" w:eastAsia="Times New Roman" w:hAnsi="Times New Roman"/>
                <w:sz w:val="18"/>
                <w:szCs w:val="18"/>
                <w:b w:val="1"/>
                <w:bCs w:val="1"/>
                <w:color w:val="auto"/>
                <w:w w:val="97"/>
              </w:rPr>
              <w:t>December 31, 2025</w:t>
            </w: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3"/>
        </w:trPr>
        <w:tc>
          <w:tcPr>
            <w:tcW w:w="3480" w:type="dxa"/>
            <w:vAlign w:val="bottom"/>
          </w:tcPr>
          <w:p>
            <w:pPr>
              <w:spacing w:after="0"/>
              <w:rPr>
                <w:sz w:val="19"/>
                <w:szCs w:val="19"/>
                <w:color w:val="auto"/>
              </w:rPr>
            </w:pPr>
          </w:p>
        </w:tc>
        <w:tc>
          <w:tcPr>
            <w:tcW w:w="25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20" w:type="dxa"/>
            <w:vAlign w:val="bottom"/>
          </w:tcPr>
          <w:p>
            <w:pPr>
              <w:spacing w:after="0"/>
              <w:rPr>
                <w:sz w:val="19"/>
                <w:szCs w:val="19"/>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94"/>
              </w:rPr>
              <w:t>Fair Value</w:t>
            </w:r>
          </w:p>
        </w:tc>
        <w:tc>
          <w:tcPr>
            <w:tcW w:w="100" w:type="dxa"/>
            <w:vAlign w:val="bottom"/>
          </w:tcPr>
          <w:p>
            <w:pPr>
              <w:spacing w:after="0"/>
              <w:rPr>
                <w:sz w:val="19"/>
                <w:szCs w:val="19"/>
                <w:color w:val="auto"/>
              </w:rPr>
            </w:pPr>
          </w:p>
        </w:tc>
        <w:tc>
          <w:tcPr>
            <w:tcW w:w="296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20" w:type="dxa"/>
            <w:vAlign w:val="bottom"/>
          </w:tcPr>
          <w:p>
            <w:pPr>
              <w:spacing w:after="0"/>
              <w:rPr>
                <w:sz w:val="19"/>
                <w:szCs w:val="19"/>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94"/>
              </w:rPr>
              <w:t>Fair Value</w:t>
            </w:r>
          </w:p>
        </w:tc>
      </w:tr>
      <w:tr>
        <w:trPr>
          <w:trHeight w:val="153"/>
        </w:trPr>
        <w:tc>
          <w:tcPr>
            <w:tcW w:w="3480" w:type="dxa"/>
            <w:vAlign w:val="bottom"/>
            <w:tcBorders>
              <w:top w:val="single" w:sz="8" w:color="CCEEFF"/>
            </w:tcBorders>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Derivative instruments designated as hedging</w:t>
            </w:r>
          </w:p>
        </w:tc>
        <w:tc>
          <w:tcPr>
            <w:tcW w:w="24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r>
      <w:tr>
        <w:trPr>
          <w:trHeight w:val="24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instruments:</w:t>
            </w:r>
          </w:p>
        </w:tc>
        <w:tc>
          <w:tcPr>
            <w:tcW w:w="2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27"/>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7"/>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Cross currency swap contracts</w:t>
            </w:r>
          </w:p>
        </w:tc>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173"/>
        </w:trPr>
        <w:tc>
          <w:tcPr>
            <w:tcW w:w="348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Derivative instruments not designated as</w:t>
            </w:r>
          </w:p>
        </w:tc>
        <w:tc>
          <w:tcPr>
            <w:tcW w:w="2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3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hedging instruments:</w:t>
            </w:r>
          </w:p>
        </w:tc>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0"/>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20"/>
                <w:szCs w:val="20"/>
                <w:color w:val="auto"/>
              </w:rPr>
            </w:pPr>
          </w:p>
        </w:tc>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0"/>
        </w:trPr>
        <w:tc>
          <w:tcPr>
            <w:tcW w:w="3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derivative instruments</w:t>
            </w: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0"/>
        </w:trPr>
        <w:tc>
          <w:tcPr>
            <w:tcW w:w="34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STOCKHOLDERS’ EQUITY</w:t>
      </w:r>
    </w:p>
    <w:p>
      <w:pPr>
        <w:spacing w:after="0" w:line="248" w:lineRule="exact"/>
        <w:rPr>
          <w:sz w:val="20"/>
          <w:szCs w:val="20"/>
          <w:color w:val="auto"/>
        </w:rPr>
      </w:pPr>
    </w:p>
    <w:p>
      <w:pPr>
        <w:ind w:right="480" w:firstLine="178"/>
        <w:spacing w:after="0" w:line="276" w:lineRule="auto"/>
        <w:rPr>
          <w:sz w:val="20"/>
          <w:szCs w:val="20"/>
          <w:color w:val="auto"/>
        </w:rPr>
      </w:pPr>
      <w:r>
        <w:rPr>
          <w:rFonts w:ascii="Times New Roman" w:cs="Times New Roman" w:eastAsia="Times New Roman" w:hAnsi="Times New Roman"/>
          <w:sz w:val="18"/>
          <w:szCs w:val="18"/>
          <w:color w:val="auto"/>
        </w:rPr>
        <w:t>The following tables set forth changes in redeemable noncontrolling interests and stockholders’ equity attributed to AGCO Corporation for the three months ended March 31, 2026 and 2025 (in millions):</w:t>
      </w:r>
    </w:p>
    <w:p>
      <w:pPr>
        <w:spacing w:after="0" w:line="38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left w:val="single" w:sz="8" w:color="auto"/>
            </w:tcBorders>
          </w:tcPr>
          <w:p>
            <w:pPr>
              <w:spacing w:after="0"/>
              <w:rPr>
                <w:sz w:val="13"/>
                <w:szCs w:val="13"/>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3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147"/>
        </w:trPr>
        <w:tc>
          <w:tcPr>
            <w:tcW w:w="4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76"/>
              <w:spacing w:after="0" w:line="147"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left w:val="single" w:sz="8" w:color="auto"/>
            </w:tcBorders>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left w:val="single" w:sz="8" w:color="auto"/>
            </w:tcBorders>
          </w:tcPr>
          <w:p>
            <w:pPr>
              <w:spacing w:after="0"/>
              <w:rPr>
                <w:sz w:val="18"/>
                <w:szCs w:val="18"/>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80" w:type="dxa"/>
            <w:vAlign w:val="bottom"/>
          </w:tcPr>
          <w:p>
            <w:pPr>
              <w:spacing w:after="0"/>
              <w:rPr>
                <w:sz w:val="18"/>
                <w:szCs w:val="18"/>
                <w:color w:val="auto"/>
              </w:rPr>
            </w:pPr>
          </w:p>
        </w:tc>
        <w:tc>
          <w:tcPr>
            <w:tcW w:w="102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7"/>
        </w:trPr>
        <w:tc>
          <w:tcPr>
            <w:tcW w:w="4040" w:type="dxa"/>
            <w:vAlign w:val="bottom"/>
            <w:tcBorders>
              <w:top w:val="single" w:sz="8" w:color="CCEEFF"/>
            </w:tcBorders>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rPr>
              <w:t>Balance, December 31, 2025</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20" w:type="dxa"/>
            <w:vAlign w:val="bottom"/>
            <w:tcBorders>
              <w:top w:val="single" w:sz="8" w:color="auto"/>
            </w:tcBorders>
            <w:shd w:val="clear" w:color="auto" w:fill="000000"/>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lef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6,047.2</w:t>
            </w: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(1,774.9)</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4,273.5</w:t>
            </w:r>
          </w:p>
        </w:tc>
        <w:tc>
          <w:tcPr>
            <w:tcW w:w="0" w:type="dxa"/>
            <w:vAlign w:val="bottom"/>
          </w:tcPr>
          <w:p>
            <w:pPr>
              <w:spacing w:after="0"/>
              <w:rPr>
                <w:sz w:val="1"/>
                <w:szCs w:val="1"/>
                <w:color w:val="auto"/>
              </w:rPr>
            </w:pPr>
          </w:p>
        </w:tc>
      </w:tr>
      <w:tr>
        <w:trPr>
          <w:trHeight w:val="227"/>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w w:val="99"/>
              </w:rPr>
              <w:t>Stock compensation and employee stock purchase plans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7"/>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Forward share repurchase contract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left w:val="single" w:sz="8" w:color="auto"/>
            </w:tcBorders>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27"/>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left w:val="single" w:sz="8" w:color="auto"/>
            </w:tcBorders>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27"/>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left w:val="single" w:sz="8" w:color="auto"/>
            </w:tcBorders>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173"/>
        </w:trPr>
        <w:tc>
          <w:tcPr>
            <w:tcW w:w="4040" w:type="dxa"/>
            <w:vAlign w:val="bottom"/>
          </w:tcPr>
          <w:p>
            <w:pPr>
              <w:ind w:left="320"/>
              <w:spacing w:after="0" w:line="173" w:lineRule="exact"/>
              <w:rPr>
                <w:sz w:val="20"/>
                <w:szCs w:val="20"/>
                <w:color w:val="auto"/>
              </w:rPr>
            </w:pPr>
            <w:r>
              <w:rPr>
                <w:rFonts w:ascii="Times New Roman" w:cs="Times New Roman" w:eastAsia="Times New Roman" w:hAnsi="Times New Roman"/>
                <w:sz w:val="18"/>
                <w:szCs w:val="18"/>
                <w:color w:val="auto"/>
              </w:rPr>
              <w:t>Defined pension and postretirement benefit plans,</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left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4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of tax</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left w:val="single" w:sz="8" w:color="auto"/>
            </w:tcBorders>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7"/>
        </w:trPr>
        <w:tc>
          <w:tcPr>
            <w:tcW w:w="4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Deferred gains and losses on derivatives, net of tax</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left w:val="single" w:sz="8" w:color="auto"/>
            </w:tcBorders>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7"/>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Payment of dividends to stockholders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45"/>
        </w:trPr>
        <w:tc>
          <w:tcPr>
            <w:tcW w:w="4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2026</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left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6,032.2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4,296.5</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4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vMerge w:val="restart"/>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20" w:type="dxa"/>
            <w:vAlign w:val="bottom"/>
          </w:tcPr>
          <w:p>
            <w:pPr>
              <w:spacing w:after="0"/>
              <w:rPr>
                <w:sz w:val="24"/>
                <w:szCs w:val="24"/>
                <w:color w:val="auto"/>
              </w:rPr>
            </w:pPr>
          </w:p>
        </w:tc>
        <w:tc>
          <w:tcPr>
            <w:tcW w:w="8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24"/>
                <w:szCs w:val="24"/>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24"/>
                <w:szCs w:val="24"/>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3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135"/>
        </w:trPr>
        <w:tc>
          <w:tcPr>
            <w:tcW w:w="4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vMerge w:val="continue"/>
          </w:tcPr>
          <w:p>
            <w:pPr>
              <w:spacing w:after="0"/>
              <w:rPr>
                <w:sz w:val="11"/>
                <w:szCs w:val="11"/>
                <w:color w:val="auto"/>
              </w:rPr>
            </w:pPr>
          </w:p>
        </w:tc>
        <w:tc>
          <w:tcPr>
            <w:tcW w:w="120" w:type="dxa"/>
            <w:vAlign w:val="bottom"/>
            <w:tcBorders>
              <w:left w:val="single" w:sz="8" w:color="auto"/>
            </w:tcBorders>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76"/>
              <w:spacing w:after="0" w:line="145"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left w:val="single" w:sz="8" w:color="auto"/>
            </w:tcBorders>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left w:val="single" w:sz="8" w:color="auto"/>
            </w:tcBorders>
          </w:tcPr>
          <w:p>
            <w:pPr>
              <w:spacing w:after="0"/>
              <w:rPr>
                <w:sz w:val="18"/>
                <w:szCs w:val="18"/>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80" w:type="dxa"/>
            <w:vAlign w:val="bottom"/>
          </w:tcPr>
          <w:p>
            <w:pPr>
              <w:spacing w:after="0"/>
              <w:rPr>
                <w:sz w:val="18"/>
                <w:szCs w:val="18"/>
                <w:color w:val="auto"/>
              </w:rPr>
            </w:pPr>
          </w:p>
        </w:tc>
        <w:tc>
          <w:tcPr>
            <w:tcW w:w="102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6"/>
        </w:trPr>
        <w:tc>
          <w:tcPr>
            <w:tcW w:w="4040" w:type="dxa"/>
            <w:vAlign w:val="bottom"/>
            <w:tcBorders>
              <w:top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Balance, December 31, 2024</w:t>
            </w:r>
          </w:p>
        </w:tc>
        <w:tc>
          <w:tcPr>
            <w:tcW w:w="14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300.1</w:t>
            </w:r>
          </w:p>
        </w:tc>
        <w:tc>
          <w:tcPr>
            <w:tcW w:w="20" w:type="dxa"/>
            <w:vAlign w:val="bottom"/>
            <w:tcBorders>
              <w:top w:val="single" w:sz="8" w:color="auto"/>
            </w:tcBorders>
            <w:shd w:val="clear" w:color="auto" w:fill="000000"/>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left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5,645.0</w:t>
            </w: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ind w:left="20"/>
              <w:spacing w:after="0" w:line="20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(1,902.9)</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7"/>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3,742.8</w:t>
            </w:r>
          </w:p>
        </w:tc>
        <w:tc>
          <w:tcPr>
            <w:tcW w:w="0" w:type="dxa"/>
            <w:vAlign w:val="bottom"/>
          </w:tcPr>
          <w:p>
            <w:pPr>
              <w:spacing w:after="0"/>
              <w:rPr>
                <w:sz w:val="1"/>
                <w:szCs w:val="1"/>
                <w:color w:val="auto"/>
              </w:rPr>
            </w:pPr>
          </w:p>
        </w:tc>
      </w:tr>
      <w:tr>
        <w:trPr>
          <w:trHeight w:val="227"/>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 plans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7"/>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left w:val="single" w:sz="8" w:color="auto"/>
            </w:tcBorders>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7"/>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left w:val="single" w:sz="8" w:color="auto"/>
            </w:tcBorders>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0" w:type="dxa"/>
            <w:vAlign w:val="bottom"/>
          </w:tcPr>
          <w:p>
            <w:pPr>
              <w:spacing w:after="0"/>
              <w:rPr>
                <w:sz w:val="1"/>
                <w:szCs w:val="1"/>
                <w:color w:val="auto"/>
              </w:rPr>
            </w:pPr>
          </w:p>
        </w:tc>
      </w:tr>
      <w:tr>
        <w:trPr>
          <w:trHeight w:val="173"/>
        </w:trPr>
        <w:tc>
          <w:tcPr>
            <w:tcW w:w="4040" w:type="dxa"/>
            <w:vAlign w:val="bottom"/>
            <w:shd w:val="clear" w:color="auto" w:fill="CCEEFF"/>
          </w:tcPr>
          <w:p>
            <w:pPr>
              <w:ind w:left="320"/>
              <w:spacing w:after="0" w:line="173" w:lineRule="exact"/>
              <w:rPr>
                <w:sz w:val="20"/>
                <w:szCs w:val="20"/>
                <w:color w:val="auto"/>
              </w:rPr>
            </w:pPr>
            <w:r>
              <w:rPr>
                <w:rFonts w:ascii="Times New Roman" w:cs="Times New Roman" w:eastAsia="Times New Roman" w:hAnsi="Times New Roman"/>
                <w:sz w:val="18"/>
                <w:szCs w:val="18"/>
                <w:color w:val="auto"/>
              </w:rPr>
              <w:t>Defined pension and postretirement benefit plans,</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left w:val="single" w:sz="8" w:color="auto"/>
            </w:tcBorders>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of tax</w:t>
            </w: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tcBorders>
              <w:left w:val="single" w:sz="8" w:color="auto"/>
            </w:tcBorders>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7"/>
        </w:trPr>
        <w:tc>
          <w:tcPr>
            <w:tcW w:w="4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Deferred gains and losses on derivatives, net of tax</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7"/>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dividends to stockholders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left w:val="single" w:sz="8" w:color="auto"/>
            </w:tcBorders>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2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Balance, March 31, 2025</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5,629.6</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(1,821.6)</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3,809.4</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40" w:firstLine="174"/>
        <w:spacing w:after="0" w:line="276" w:lineRule="auto"/>
        <w:rPr>
          <w:sz w:val="20"/>
          <w:szCs w:val="20"/>
          <w:color w:val="auto"/>
        </w:rPr>
      </w:pPr>
      <w:r>
        <w:rPr>
          <w:rFonts w:ascii="Times New Roman" w:cs="Times New Roman" w:eastAsia="Times New Roman" w:hAnsi="Times New Roman"/>
          <w:sz w:val="18"/>
          <w:szCs w:val="18"/>
          <w:color w:val="auto"/>
        </w:rPr>
        <w:t>The following table sets forth changes in accumulated other comprehensive loss by component, net of tax, attributed to AGCO Corporation for the three months ended March 31, 2026 (in millions):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right="1800"/>
        <w:spacing w:after="0" w:line="235" w:lineRule="auto"/>
        <w:rPr>
          <w:sz w:val="20"/>
          <w:szCs w:val="20"/>
          <w:color w:val="auto"/>
        </w:rPr>
      </w:pPr>
      <w:r>
        <w:rPr>
          <w:rFonts w:ascii="Times New Roman" w:cs="Times New Roman" w:eastAsia="Times New Roman" w:hAnsi="Times New Roman"/>
          <w:sz w:val="18"/>
          <w:szCs w:val="18"/>
          <w:color w:val="auto"/>
        </w:rPr>
        <w:t>Accumulated other comprehensive loss, December 31, 2025</w:t>
      </w:r>
    </w:p>
    <w:p>
      <w:pPr>
        <w:spacing w:after="0" w:line="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p>
      <w:pPr>
        <w:spacing w:after="0" w:line="25" w:lineRule="exact"/>
        <w:rPr>
          <w:sz w:val="20"/>
          <w:szCs w:val="20"/>
          <w:color w:val="auto"/>
        </w:rPr>
      </w:pPr>
    </w:p>
    <w:p>
      <w:pPr>
        <w:ind w:left="380" w:hanging="159"/>
        <w:spacing w:after="0" w:line="231" w:lineRule="auto"/>
        <w:rPr>
          <w:sz w:val="20"/>
          <w:szCs w:val="20"/>
          <w:color w:val="auto"/>
        </w:rPr>
      </w:pPr>
      <w:r>
        <w:rPr>
          <w:rFonts w:ascii="Times New Roman" w:cs="Times New Roman" w:eastAsia="Times New Roman" w:hAnsi="Times New Roman"/>
          <w:sz w:val="18"/>
          <w:szCs w:val="18"/>
          <w:color w:val="auto"/>
        </w:rPr>
        <w:t>Net losses reclassified from accumulated other comprehensive loss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Defined Pension</w:t>
            </w:r>
          </w:p>
        </w:tc>
        <w:tc>
          <w:tcPr>
            <w:tcW w:w="16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Deferred Gains and</w:t>
            </w:r>
          </w:p>
        </w:tc>
        <w:tc>
          <w:tcPr>
            <w:tcW w:w="220" w:type="dxa"/>
            <w:vAlign w:val="bottom"/>
          </w:tcPr>
          <w:p>
            <w:pPr>
              <w:spacing w:after="0"/>
              <w:rPr>
                <w:sz w:val="17"/>
                <w:szCs w:val="17"/>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Cumulative</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620" w:type="dxa"/>
            <w:vAlign w:val="bottom"/>
            <w:gridSpan w:val="3"/>
          </w:tcPr>
          <w:p>
            <w:pPr>
              <w:jc w:val="center"/>
              <w:ind w:right="120"/>
              <w:spacing w:after="0" w:line="180" w:lineRule="exact"/>
              <w:rPr>
                <w:sz w:val="20"/>
                <w:szCs w:val="20"/>
                <w:color w:val="auto"/>
              </w:rPr>
            </w:pPr>
            <w:r>
              <w:rPr>
                <w:rFonts w:ascii="Times New Roman" w:cs="Times New Roman" w:eastAsia="Times New Roman" w:hAnsi="Times New Roman"/>
                <w:sz w:val="18"/>
                <w:szCs w:val="18"/>
                <w:b w:val="1"/>
                <w:bCs w:val="1"/>
                <w:color w:val="auto"/>
                <w:w w:val="98"/>
              </w:rPr>
              <w:t>and Postretirement</w:t>
            </w:r>
          </w:p>
        </w:tc>
        <w:tc>
          <w:tcPr>
            <w:tcW w:w="220" w:type="dxa"/>
            <w:vAlign w:val="bottom"/>
          </w:tcPr>
          <w:p>
            <w:pPr>
              <w:spacing w:after="0"/>
              <w:rPr>
                <w:sz w:val="15"/>
                <w:szCs w:val="15"/>
                <w:color w:val="auto"/>
              </w:rPr>
            </w:pPr>
          </w:p>
        </w:tc>
        <w:tc>
          <w:tcPr>
            <w:tcW w:w="1400" w:type="dxa"/>
            <w:vAlign w:val="bottom"/>
            <w:gridSpan w:val="2"/>
          </w:tcPr>
          <w:p>
            <w:pPr>
              <w:jc w:val="center"/>
              <w:ind w:right="320"/>
              <w:spacing w:after="0" w:line="180" w:lineRule="exact"/>
              <w:rPr>
                <w:sz w:val="20"/>
                <w:szCs w:val="20"/>
                <w:color w:val="auto"/>
              </w:rPr>
            </w:pPr>
            <w:r>
              <w:rPr>
                <w:rFonts w:ascii="Times New Roman" w:cs="Times New Roman" w:eastAsia="Times New Roman" w:hAnsi="Times New Roman"/>
                <w:sz w:val="18"/>
                <w:szCs w:val="18"/>
                <w:b w:val="1"/>
                <w:bCs w:val="1"/>
                <w:color w:val="auto"/>
                <w:w w:val="97"/>
              </w:rPr>
              <w:t>Losses on</w:t>
            </w:r>
          </w:p>
        </w:tc>
        <w:tc>
          <w:tcPr>
            <w:tcW w:w="220" w:type="dxa"/>
            <w:vAlign w:val="bottom"/>
          </w:tcPr>
          <w:p>
            <w:pPr>
              <w:spacing w:after="0"/>
              <w:rPr>
                <w:sz w:val="15"/>
                <w:szCs w:val="15"/>
                <w:color w:val="auto"/>
              </w:rPr>
            </w:pPr>
          </w:p>
        </w:tc>
        <w:tc>
          <w:tcPr>
            <w:tcW w:w="1400" w:type="dxa"/>
            <w:vAlign w:val="bottom"/>
            <w:gridSpan w:val="2"/>
          </w:tcPr>
          <w:p>
            <w:pPr>
              <w:ind w:left="120"/>
              <w:spacing w:after="0" w:line="180" w:lineRule="exact"/>
              <w:rPr>
                <w:sz w:val="20"/>
                <w:szCs w:val="20"/>
                <w:color w:val="auto"/>
              </w:rPr>
            </w:pPr>
            <w:r>
              <w:rPr>
                <w:rFonts w:ascii="Times New Roman" w:cs="Times New Roman" w:eastAsia="Times New Roman" w:hAnsi="Times New Roman"/>
                <w:sz w:val="18"/>
                <w:szCs w:val="18"/>
                <w:b w:val="1"/>
                <w:bCs w:val="1"/>
                <w:color w:val="auto"/>
              </w:rPr>
              <w:t>Translation</w:t>
            </w:r>
          </w:p>
        </w:tc>
        <w:tc>
          <w:tcPr>
            <w:tcW w:w="340" w:type="dxa"/>
            <w:vAlign w:val="bottom"/>
          </w:tcPr>
          <w:p>
            <w:pPr>
              <w:spacing w:after="0"/>
              <w:rPr>
                <w:sz w:val="15"/>
                <w:szCs w:val="15"/>
                <w:color w:val="auto"/>
              </w:rPr>
            </w:pPr>
          </w:p>
        </w:tc>
        <w:tc>
          <w:tcPr>
            <w:tcW w:w="1160" w:type="dxa"/>
            <w:vAlign w:val="bottom"/>
            <w:vMerge w:val="restart"/>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Benefit Plans</w:t>
            </w:r>
          </w:p>
        </w:tc>
        <w:tc>
          <w:tcPr>
            <w:tcW w:w="220" w:type="dxa"/>
            <w:vAlign w:val="bottom"/>
          </w:tcPr>
          <w:p>
            <w:pPr>
              <w:spacing w:after="0"/>
              <w:rPr>
                <w:sz w:val="20"/>
                <w:szCs w:val="20"/>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Derivatives</w:t>
            </w:r>
          </w:p>
        </w:tc>
        <w:tc>
          <w:tcPr>
            <w:tcW w:w="220" w:type="dxa"/>
            <w:vAlign w:val="bottom"/>
          </w:tcPr>
          <w:p>
            <w:pPr>
              <w:spacing w:after="0"/>
              <w:rPr>
                <w:sz w:val="20"/>
                <w:szCs w:val="20"/>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34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88"/>
        </w:trPr>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100" w:type="dxa"/>
            <w:vAlign w:val="bottom"/>
          </w:tcPr>
          <w:p>
            <w:pPr>
              <w:spacing w:after="0"/>
              <w:rPr>
                <w:sz w:val="24"/>
                <w:szCs w:val="24"/>
                <w:color w:val="auto"/>
              </w:rPr>
            </w:pPr>
          </w:p>
        </w:tc>
        <w:tc>
          <w:tcPr>
            <w:tcW w:w="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center"/>
              <w:ind w:left="871"/>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4"/>
                <w:szCs w:val="24"/>
                <w:color w:val="auto"/>
              </w:rPr>
            </w:pPr>
          </w:p>
        </w:tc>
        <w:tc>
          <w:tcPr>
            <w:tcW w:w="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(1,554.7)</w:t>
            </w:r>
          </w:p>
        </w:tc>
        <w:tc>
          <w:tcPr>
            <w:tcW w:w="80" w:type="dxa"/>
            <w:vAlign w:val="bottom"/>
          </w:tcPr>
          <w:p>
            <w:pPr>
              <w:spacing w:after="0"/>
              <w:rPr>
                <w:sz w:val="24"/>
                <w:szCs w:val="24"/>
                <w:color w:val="auto"/>
              </w:rPr>
            </w:pPr>
          </w:p>
        </w:tc>
        <w:tc>
          <w:tcPr>
            <w:tcW w:w="34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(1,774.9)</w:t>
            </w:r>
          </w:p>
        </w:tc>
        <w:tc>
          <w:tcPr>
            <w:tcW w:w="0" w:type="dxa"/>
            <w:vAlign w:val="bottom"/>
          </w:tcPr>
          <w:p>
            <w:pPr>
              <w:spacing w:after="0"/>
              <w:rPr>
                <w:sz w:val="1"/>
                <w:szCs w:val="1"/>
                <w:color w:val="auto"/>
              </w:rPr>
            </w:pPr>
          </w:p>
        </w:tc>
      </w:tr>
      <w:tr>
        <w:trPr>
          <w:trHeight w:val="232"/>
        </w:trPr>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center"/>
              <w:ind w:left="831"/>
              <w:spacing w:after="0"/>
              <w:rPr>
                <w:sz w:val="20"/>
                <w:szCs w:val="20"/>
                <w:color w:val="auto"/>
              </w:rPr>
            </w:pPr>
            <w:r>
              <w:rPr>
                <w:rFonts w:ascii="Times New Roman" w:cs="Times New Roman" w:eastAsia="Times New Roman" w:hAnsi="Times New Roman"/>
                <w:sz w:val="18"/>
                <w:szCs w:val="18"/>
                <w:color w:val="auto"/>
                <w:w w:val="98"/>
              </w:rPr>
              <w:t>(4.1)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center"/>
              <w:ind w:left="871"/>
              <w:spacing w:after="0"/>
              <w:rPr>
                <w:sz w:val="20"/>
                <w:szCs w:val="20"/>
                <w:color w:val="auto"/>
              </w:rPr>
            </w:pPr>
            <w:r>
              <w:rPr>
                <w:rFonts w:ascii="Times New Roman" w:cs="Times New Roman" w:eastAsia="Times New Roman" w:hAnsi="Times New Roman"/>
                <w:sz w:val="18"/>
                <w:szCs w:val="18"/>
                <w:color w:val="auto"/>
                <w:w w:val="97"/>
              </w:rPr>
              <w:t>1.2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-668020</wp:posOffset>
            </wp:positionV>
            <wp:extent cx="7134225" cy="262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262255"/>
                    </a:xfrm>
                    <a:prstGeom prst="rect">
                      <a:avLst/>
                    </a:prstGeom>
                    <a:noFill/>
                  </pic:spPr>
                </pic:pic>
              </a:graphicData>
            </a:graphic>
          </wp:anchor>
        </w:drawing>
        <w:drawing>
          <wp:anchor simplePos="0" relativeHeight="251657728" behindDoc="1" locked="0" layoutInCell="0" allowOverlap="1">
            <wp:simplePos x="0" y="0"/>
            <wp:positionH relativeFrom="column">
              <wp:posOffset>-3093720</wp:posOffset>
            </wp:positionH>
            <wp:positionV relativeFrom="paragraph">
              <wp:posOffset>-261620</wp:posOffset>
            </wp:positionV>
            <wp:extent cx="7134225" cy="262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262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660" w:space="220"/>
            <w:col w:w="63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5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8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153"/>
        </w:trPr>
        <w:tc>
          <w:tcPr>
            <w:tcW w:w="488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Accumulated other comprehensive loss,</w:t>
            </w:r>
          </w:p>
        </w:tc>
        <w:tc>
          <w:tcPr>
            <w:tcW w:w="540" w:type="dxa"/>
            <w:vAlign w:val="bottom"/>
            <w:vMerge w:val="restart"/>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1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(1,515.1)</w:t>
            </w:r>
          </w:p>
        </w:tc>
        <w:tc>
          <w:tcPr>
            <w:tcW w:w="8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(1,736.4)</w:t>
            </w:r>
          </w:p>
        </w:tc>
        <w:tc>
          <w:tcPr>
            <w:tcW w:w="0" w:type="dxa"/>
            <w:vAlign w:val="bottom"/>
          </w:tcPr>
          <w:p>
            <w:pPr>
              <w:spacing w:after="0"/>
              <w:rPr>
                <w:sz w:val="1"/>
                <w:szCs w:val="1"/>
                <w:color w:val="auto"/>
              </w:rPr>
            </w:pPr>
          </w:p>
        </w:tc>
      </w:tr>
      <w:tr>
        <w:trPr>
          <w:trHeight w:val="233"/>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2026</w:t>
            </w: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both"/>
        <w:ind w:right="20" w:firstLine="174"/>
        <w:spacing w:after="0" w:line="276" w:lineRule="auto"/>
        <w:rPr>
          <w:sz w:val="20"/>
          <w:szCs w:val="20"/>
          <w:color w:val="auto"/>
        </w:rPr>
      </w:pPr>
      <w:r>
        <w:rPr>
          <w:rFonts w:ascii="Times New Roman" w:cs="Times New Roman" w:eastAsia="Times New Roman" w:hAnsi="Times New Roman"/>
          <w:sz w:val="18"/>
          <w:szCs w:val="18"/>
          <w:color w:val="auto"/>
        </w:rPr>
        <w:t>The following tables set forth reclassification adjustments out of accumulated other comprehensive loss by component attributed to AGCO Corporation for the three months ended March 31, 2026 and 2025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4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Amount Reclassified from Accumulated Other</w:t>
            </w:r>
          </w:p>
        </w:tc>
        <w:tc>
          <w:tcPr>
            <w:tcW w:w="80" w:type="dxa"/>
            <w:vAlign w:val="bottom"/>
          </w:tcPr>
          <w:p>
            <w:pPr>
              <w:spacing w:after="0"/>
              <w:rPr>
                <w:sz w:val="17"/>
                <w:szCs w:val="17"/>
                <w:color w:val="auto"/>
              </w:rPr>
            </w:pPr>
          </w:p>
        </w:tc>
        <w:tc>
          <w:tcPr>
            <w:tcW w:w="2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Affected Line Item within</w:t>
            </w:r>
          </w:p>
        </w:tc>
        <w:tc>
          <w:tcPr>
            <w:tcW w:w="0" w:type="dxa"/>
            <w:vAlign w:val="bottom"/>
          </w:tcPr>
          <w:p>
            <w:pPr>
              <w:spacing w:after="0"/>
              <w:rPr>
                <w:sz w:val="1"/>
                <w:szCs w:val="1"/>
                <w:color w:val="auto"/>
              </w:rPr>
            </w:pPr>
          </w:p>
        </w:tc>
      </w:tr>
      <w:tr>
        <w:trPr>
          <w:trHeight w:val="120"/>
        </w:trPr>
        <w:tc>
          <w:tcPr>
            <w:tcW w:w="4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40" w:type="dxa"/>
            <w:vAlign w:val="bottom"/>
            <w:gridSpan w:val="4"/>
            <w:vMerge w:val="restart"/>
          </w:tcPr>
          <w:p>
            <w:pPr>
              <w:ind w:left="124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8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4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240" w:type="dxa"/>
            <w:vAlign w:val="bottom"/>
            <w:tcBorders>
              <w:bottom w:val="single" w:sz="8" w:color="auto"/>
            </w:tcBorders>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2180" w:type="dxa"/>
            <w:vAlign w:val="bottom"/>
            <w:vMerge w:val="restart"/>
          </w:tcPr>
          <w:p>
            <w:pPr>
              <w:jc w:val="center"/>
              <w:spacing w:after="0" w:line="181" w:lineRule="exact"/>
              <w:rPr>
                <w:sz w:val="20"/>
                <w:szCs w:val="20"/>
                <w:color w:val="auto"/>
              </w:rPr>
            </w:pPr>
            <w:r>
              <w:rPr>
                <w:rFonts w:ascii="Times New Roman" w:cs="Times New Roman" w:eastAsia="Times New Roman" w:hAnsi="Times New Roman"/>
                <w:sz w:val="18"/>
                <w:szCs w:val="18"/>
                <w:b w:val="1"/>
                <w:bCs w:val="1"/>
                <w:color w:val="auto"/>
                <w:w w:val="98"/>
              </w:rPr>
              <w:t>the Condensed</w:t>
            </w:r>
          </w:p>
        </w:tc>
        <w:tc>
          <w:tcPr>
            <w:tcW w:w="0" w:type="dxa"/>
            <w:vAlign w:val="bottom"/>
          </w:tcPr>
          <w:p>
            <w:pPr>
              <w:spacing w:after="0"/>
              <w:rPr>
                <w:sz w:val="1"/>
                <w:szCs w:val="1"/>
                <w:color w:val="auto"/>
              </w:rPr>
            </w:pPr>
          </w:p>
        </w:tc>
      </w:tr>
      <w:tr>
        <w:trPr>
          <w:trHeight w:val="47"/>
        </w:trPr>
        <w:tc>
          <w:tcPr>
            <w:tcW w:w="45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Details about Accumulated Other Comprehensive Loss</w:t>
            </w:r>
          </w:p>
        </w:tc>
        <w:tc>
          <w:tcPr>
            <w:tcW w:w="200" w:type="dxa"/>
            <w:vAlign w:val="bottom"/>
          </w:tcPr>
          <w:p>
            <w:pPr>
              <w:spacing w:after="0"/>
              <w:rPr>
                <w:sz w:val="4"/>
                <w:szCs w:val="4"/>
                <w:color w:val="auto"/>
              </w:rPr>
            </w:pPr>
          </w:p>
        </w:tc>
        <w:tc>
          <w:tcPr>
            <w:tcW w:w="2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4"/>
                <w:szCs w:val="4"/>
                <w:color w:val="auto"/>
              </w:rPr>
            </w:pPr>
          </w:p>
        </w:tc>
        <w:tc>
          <w:tcPr>
            <w:tcW w:w="1980" w:type="dxa"/>
            <w:vAlign w:val="bottom"/>
            <w:vMerge w:val="restart"/>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80" w:type="dxa"/>
            <w:vAlign w:val="bottom"/>
          </w:tcPr>
          <w:p>
            <w:pPr>
              <w:spacing w:after="0"/>
              <w:rPr>
                <w:sz w:val="4"/>
                <w:szCs w:val="4"/>
                <w:color w:val="auto"/>
              </w:rPr>
            </w:pPr>
          </w:p>
        </w:tc>
        <w:tc>
          <w:tcPr>
            <w:tcW w:w="2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45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180" w:type="dxa"/>
            <w:vAlign w:val="bottom"/>
          </w:tcPr>
          <w:p>
            <w:pPr>
              <w:jc w:val="center"/>
              <w:spacing w:after="0" w:line="173" w:lineRule="exact"/>
              <w:rPr>
                <w:sz w:val="20"/>
                <w:szCs w:val="20"/>
                <w:color w:val="auto"/>
              </w:rPr>
            </w:pPr>
            <w:r>
              <w:rPr>
                <w:rFonts w:ascii="Times New Roman" w:cs="Times New Roman" w:eastAsia="Times New Roman" w:hAnsi="Times New Roman"/>
                <w:sz w:val="18"/>
                <w:szCs w:val="18"/>
                <w:b w:val="1"/>
                <w:bCs w:val="1"/>
                <w:color w:val="auto"/>
                <w:w w:val="98"/>
              </w:rPr>
              <w:t>Consolidated</w:t>
            </w:r>
          </w:p>
        </w:tc>
        <w:tc>
          <w:tcPr>
            <w:tcW w:w="0" w:type="dxa"/>
            <w:vAlign w:val="bottom"/>
          </w:tcPr>
          <w:p>
            <w:pPr>
              <w:spacing w:after="0"/>
              <w:rPr>
                <w:sz w:val="1"/>
                <w:szCs w:val="1"/>
                <w:color w:val="auto"/>
              </w:rPr>
            </w:pPr>
          </w:p>
        </w:tc>
      </w:tr>
      <w:tr>
        <w:trPr>
          <w:trHeight w:val="227"/>
        </w:trPr>
        <w:tc>
          <w:tcPr>
            <w:tcW w:w="4540" w:type="dxa"/>
            <w:vAlign w:val="bottom"/>
            <w:gridSpan w:val="2"/>
          </w:tcPr>
          <w:p>
            <w:pPr>
              <w:ind w:left="1740"/>
              <w:spacing w:after="0"/>
              <w:rPr>
                <w:sz w:val="20"/>
                <w:szCs w:val="20"/>
                <w:color w:val="auto"/>
              </w:rPr>
            </w:pPr>
            <w:r>
              <w:rPr>
                <w:rFonts w:ascii="Times New Roman" w:cs="Times New Roman" w:eastAsia="Times New Roman" w:hAnsi="Times New Roman"/>
                <w:sz w:val="18"/>
                <w:szCs w:val="18"/>
                <w:b w:val="1"/>
                <w:bCs w:val="1"/>
                <w:color w:val="auto"/>
              </w:rPr>
              <w:t>Components</w:t>
            </w:r>
          </w:p>
        </w:tc>
        <w:tc>
          <w:tcPr>
            <w:tcW w:w="200" w:type="dxa"/>
            <w:vAlign w:val="bottom"/>
          </w:tcPr>
          <w:p>
            <w:pPr>
              <w:spacing w:after="0"/>
              <w:rPr>
                <w:sz w:val="19"/>
                <w:szCs w:val="19"/>
                <w:color w:val="auto"/>
              </w:rPr>
            </w:pPr>
          </w:p>
        </w:tc>
        <w:tc>
          <w:tcPr>
            <w:tcW w:w="20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March 31, 2026</w:t>
            </w:r>
            <w:r>
              <w:rPr>
                <w:rFonts w:ascii="Times New Roman" w:cs="Times New Roman" w:eastAsia="Times New Roman" w:hAnsi="Times New Roman"/>
                <w:sz w:val="9"/>
                <w:szCs w:val="9"/>
                <w:b w:val="1"/>
                <w:bCs w:val="1"/>
                <w:color w:val="auto"/>
              </w:rPr>
              <w:t>(1)</w:t>
            </w:r>
          </w:p>
        </w:tc>
        <w:tc>
          <w:tcPr>
            <w:tcW w:w="200" w:type="dxa"/>
            <w:vAlign w:val="bottom"/>
          </w:tcPr>
          <w:p>
            <w:pPr>
              <w:spacing w:after="0"/>
              <w:rPr>
                <w:sz w:val="19"/>
                <w:szCs w:val="19"/>
                <w:color w:val="auto"/>
              </w:rPr>
            </w:pPr>
          </w:p>
        </w:tc>
        <w:tc>
          <w:tcPr>
            <w:tcW w:w="198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9"/>
              </w:rPr>
              <w:t>March 31, 2025</w:t>
            </w:r>
            <w:r>
              <w:rPr>
                <w:rFonts w:ascii="Times New Roman" w:cs="Times New Roman" w:eastAsia="Times New Roman" w:hAnsi="Times New Roman"/>
                <w:sz w:val="9"/>
                <w:szCs w:val="9"/>
                <w:b w:val="1"/>
                <w:bCs w:val="1"/>
                <w:color w:val="auto"/>
                <w:w w:val="99"/>
              </w:rPr>
              <w:t>(1)</w:t>
            </w:r>
          </w:p>
        </w:tc>
        <w:tc>
          <w:tcPr>
            <w:tcW w:w="8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Statements of Operations</w:t>
            </w:r>
          </w:p>
        </w:tc>
        <w:tc>
          <w:tcPr>
            <w:tcW w:w="0" w:type="dxa"/>
            <w:vAlign w:val="bottom"/>
          </w:tcPr>
          <w:p>
            <w:pPr>
              <w:spacing w:after="0"/>
              <w:rPr>
                <w:sz w:val="1"/>
                <w:szCs w:val="1"/>
                <w:color w:val="auto"/>
              </w:rPr>
            </w:pPr>
          </w:p>
        </w:tc>
      </w:tr>
      <w:tr>
        <w:trPr>
          <w:trHeight w:val="220"/>
        </w:trPr>
        <w:tc>
          <w:tcPr>
            <w:tcW w:w="4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Derivatives:</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1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losses (gains) on foreign currency contracts</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CEEFF"/>
          </w:tcPr>
          <w:p>
            <w:pPr>
              <w:jc w:val="center"/>
              <w:ind w:left="1511"/>
              <w:spacing w:after="0"/>
              <w:rPr>
                <w:sz w:val="20"/>
                <w:szCs w:val="20"/>
                <w:color w:val="auto"/>
              </w:rPr>
            </w:pPr>
            <w:r>
              <w:rPr>
                <w:rFonts w:ascii="Times New Roman" w:cs="Times New Roman" w:eastAsia="Times New Roman" w:hAnsi="Times New Roman"/>
                <w:sz w:val="18"/>
                <w:szCs w:val="18"/>
                <w:color w:val="auto"/>
                <w:w w:val="97"/>
              </w:rPr>
              <w:t>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40" w:type="dxa"/>
            <w:vAlign w:val="bottom"/>
            <w:gridSpan w:val="3"/>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(2.3)  Cost of goods sold</w:t>
            </w:r>
          </w:p>
        </w:tc>
        <w:tc>
          <w:tcPr>
            <w:tcW w:w="0" w:type="dxa"/>
            <w:vAlign w:val="bottom"/>
          </w:tcPr>
          <w:p>
            <w:pPr>
              <w:spacing w:after="0"/>
              <w:rPr>
                <w:sz w:val="1"/>
                <w:szCs w:val="1"/>
                <w:color w:val="auto"/>
              </w:rPr>
            </w:pPr>
          </w:p>
        </w:tc>
      </w:tr>
      <w:tr>
        <w:trPr>
          <w:trHeight w:val="227"/>
        </w:trPr>
        <w:tc>
          <w:tcPr>
            <w:tcW w:w="45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Net gains on treasury rate locks</w:t>
            </w: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center"/>
              <w:ind w:left="1471"/>
              <w:spacing w:after="0"/>
              <w:rPr>
                <w:sz w:val="20"/>
                <w:szCs w:val="20"/>
                <w:color w:val="auto"/>
              </w:rPr>
            </w:pPr>
            <w:r>
              <w:rPr>
                <w:rFonts w:ascii="Times New Roman" w:cs="Times New Roman" w:eastAsia="Times New Roman" w:hAnsi="Times New Roman"/>
                <w:sz w:val="18"/>
                <w:szCs w:val="18"/>
                <w:color w:val="auto"/>
                <w:w w:val="98"/>
              </w:rPr>
              <w:t>(0.2)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center"/>
              <w:ind w:left="1471"/>
              <w:spacing w:after="0"/>
              <w:rPr>
                <w:sz w:val="20"/>
                <w:szCs w:val="20"/>
                <w:color w:val="auto"/>
              </w:rPr>
            </w:pPr>
            <w:r>
              <w:rPr>
                <w:rFonts w:ascii="Times New Roman" w:cs="Times New Roman" w:eastAsia="Times New Roman" w:hAnsi="Times New Roman"/>
                <w:sz w:val="18"/>
                <w:szCs w:val="18"/>
                <w:color w:val="auto"/>
                <w:w w:val="98"/>
              </w:rPr>
              <w:t>(0.2)</w:t>
            </w:r>
          </w:p>
        </w:tc>
        <w:tc>
          <w:tcPr>
            <w:tcW w:w="80" w:type="dxa"/>
            <w:vAlign w:val="bottom"/>
            <w:tcBorders>
              <w:bottom w:val="single" w:sz="8" w:color="CCEEFF"/>
            </w:tcBorders>
          </w:tcPr>
          <w:p>
            <w:pPr>
              <w:spacing w:after="0"/>
              <w:rPr>
                <w:sz w:val="19"/>
                <w:szCs w:val="19"/>
                <w:color w:val="auto"/>
              </w:rPr>
            </w:pPr>
          </w:p>
        </w:tc>
        <w:tc>
          <w:tcPr>
            <w:tcW w:w="2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0" w:type="dxa"/>
            <w:vAlign w:val="bottom"/>
          </w:tcPr>
          <w:p>
            <w:pPr>
              <w:spacing w:after="0"/>
              <w:rPr>
                <w:sz w:val="1"/>
                <w:szCs w:val="1"/>
                <w:color w:val="auto"/>
              </w:rPr>
            </w:pPr>
          </w:p>
        </w:tc>
      </w:tr>
      <w:tr>
        <w:trPr>
          <w:trHeight w:val="220"/>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before tax</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ind w:left="1511"/>
              <w:spacing w:after="0"/>
              <w:rPr>
                <w:sz w:val="20"/>
                <w:szCs w:val="20"/>
                <w:color w:val="auto"/>
              </w:rPr>
            </w:pPr>
            <w:r>
              <w:rPr>
                <w:rFonts w:ascii="Times New Roman" w:cs="Times New Roman" w:eastAsia="Times New Roman" w:hAnsi="Times New Roman"/>
                <w:sz w:val="18"/>
                <w:szCs w:val="18"/>
                <w:color w:val="auto"/>
                <w:w w:val="97"/>
              </w:rPr>
              <w:t>1.6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ind w:left="1471"/>
              <w:spacing w:after="0"/>
              <w:rPr>
                <w:sz w:val="20"/>
                <w:szCs w:val="20"/>
                <w:color w:val="auto"/>
              </w:rPr>
            </w:pPr>
            <w:r>
              <w:rPr>
                <w:rFonts w:ascii="Times New Roman" w:cs="Times New Roman" w:eastAsia="Times New Roman" w:hAnsi="Times New Roman"/>
                <w:sz w:val="18"/>
                <w:szCs w:val="18"/>
                <w:color w:val="auto"/>
                <w:w w:val="98"/>
              </w:rPr>
              <w:t>(2.5)</w:t>
            </w:r>
          </w:p>
        </w:tc>
        <w:tc>
          <w:tcPr>
            <w:tcW w:w="8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center"/>
              <w:ind w:left="1471"/>
              <w:spacing w:after="0"/>
              <w:rPr>
                <w:sz w:val="20"/>
                <w:szCs w:val="20"/>
                <w:color w:val="auto"/>
              </w:rPr>
            </w:pPr>
            <w:r>
              <w:rPr>
                <w:rFonts w:ascii="Times New Roman" w:cs="Times New Roman" w:eastAsia="Times New Roman" w:hAnsi="Times New Roman"/>
                <w:sz w:val="18"/>
                <w:szCs w:val="18"/>
                <w:color w:val="auto"/>
                <w:w w:val="98"/>
              </w:rPr>
              <w:t>(0.4)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center"/>
              <w:ind w:left="1511"/>
              <w:spacing w:after="0"/>
              <w:rPr>
                <w:sz w:val="20"/>
                <w:szCs w:val="20"/>
                <w:color w:val="auto"/>
              </w:rPr>
            </w:pPr>
            <w:r>
              <w:rPr>
                <w:rFonts w:ascii="Times New Roman" w:cs="Times New Roman" w:eastAsia="Times New Roman" w:hAnsi="Times New Roman"/>
                <w:sz w:val="18"/>
                <w:szCs w:val="18"/>
                <w:color w:val="auto"/>
                <w:w w:val="97"/>
              </w:rPr>
              <w:t>0.8</w:t>
            </w:r>
          </w:p>
        </w:tc>
        <w:tc>
          <w:tcPr>
            <w:tcW w:w="80" w:type="dxa"/>
            <w:vAlign w:val="bottom"/>
            <w:tcBorders>
              <w:bottom w:val="single" w:sz="8" w:color="CCEEFF"/>
            </w:tcBorders>
          </w:tcPr>
          <w:p>
            <w:pPr>
              <w:spacing w:after="0"/>
              <w:rPr>
                <w:sz w:val="19"/>
                <w:szCs w:val="19"/>
                <w:color w:val="auto"/>
              </w:rPr>
            </w:pPr>
          </w:p>
        </w:tc>
        <w:tc>
          <w:tcPr>
            <w:tcW w:w="2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0" w:type="dxa"/>
            <w:vAlign w:val="bottom"/>
          </w:tcPr>
          <w:p>
            <w:pPr>
              <w:spacing w:after="0"/>
              <w:rPr>
                <w:sz w:val="1"/>
                <w:szCs w:val="1"/>
                <w:color w:val="auto"/>
              </w:rPr>
            </w:pPr>
          </w:p>
        </w:tc>
      </w:tr>
      <w:tr>
        <w:trPr>
          <w:trHeight w:val="245"/>
        </w:trPr>
        <w:tc>
          <w:tcPr>
            <w:tcW w:w="4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net of tax</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CEEFF"/>
          </w:tcPr>
          <w:p>
            <w:pPr>
              <w:jc w:val="center"/>
              <w:ind w:left="1511"/>
              <w:spacing w:after="0"/>
              <w:rPr>
                <w:sz w:val="20"/>
                <w:szCs w:val="20"/>
                <w:color w:val="auto"/>
              </w:rPr>
            </w:pPr>
            <w:r>
              <w:rPr>
                <w:rFonts w:ascii="Times New Roman" w:cs="Times New Roman" w:eastAsia="Times New Roman" w:hAnsi="Times New Roman"/>
                <w:sz w:val="18"/>
                <w:szCs w:val="18"/>
                <w:color w:val="auto"/>
                <w:w w:val="97"/>
              </w:rPr>
              <w:t>1.2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center"/>
              <w:ind w:left="1471"/>
              <w:spacing w:after="0"/>
              <w:rPr>
                <w:sz w:val="20"/>
                <w:szCs w:val="20"/>
                <w:color w:val="auto"/>
              </w:rPr>
            </w:pPr>
            <w:r>
              <w:rPr>
                <w:rFonts w:ascii="Times New Roman" w:cs="Times New Roman" w:eastAsia="Times New Roman" w:hAnsi="Times New Roman"/>
                <w:sz w:val="18"/>
                <w:szCs w:val="18"/>
                <w:color w:val="auto"/>
                <w:w w:val="98"/>
              </w:rPr>
              <w:t>(1.7)</w:t>
            </w:r>
          </w:p>
        </w:tc>
        <w:tc>
          <w:tcPr>
            <w:tcW w:w="8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4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Defined pension and postretirement benefit plans:</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net actuarial losses</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Pr>
          <w:p>
            <w:pPr>
              <w:jc w:val="center"/>
              <w:ind w:left="1511"/>
              <w:spacing w:after="0"/>
              <w:rPr>
                <w:sz w:val="20"/>
                <w:szCs w:val="20"/>
                <w:color w:val="auto"/>
              </w:rPr>
            </w:pPr>
            <w:r>
              <w:rPr>
                <w:rFonts w:ascii="Times New Roman" w:cs="Times New Roman" w:eastAsia="Times New Roman" w:hAnsi="Times New Roman"/>
                <w:sz w:val="18"/>
                <w:szCs w:val="18"/>
                <w:color w:val="auto"/>
                <w:w w:val="97"/>
              </w:rPr>
              <w:t>2.3</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center"/>
              <w:ind w:left="1511"/>
              <w:spacing w:after="0"/>
              <w:rPr>
                <w:sz w:val="20"/>
                <w:szCs w:val="20"/>
                <w:color w:val="auto"/>
              </w:rPr>
            </w:pPr>
            <w:r>
              <w:rPr>
                <w:rFonts w:ascii="Times New Roman" w:cs="Times New Roman" w:eastAsia="Times New Roman" w:hAnsi="Times New Roman"/>
                <w:sz w:val="18"/>
                <w:szCs w:val="18"/>
                <w:color w:val="auto"/>
                <w:w w:val="97"/>
              </w:rPr>
              <w:t>2.1</w:t>
            </w:r>
          </w:p>
        </w:tc>
        <w:tc>
          <w:tcPr>
            <w:tcW w:w="80" w:type="dxa"/>
            <w:vAlign w:val="bottom"/>
          </w:tcPr>
          <w:p>
            <w:pPr>
              <w:spacing w:after="0"/>
              <w:rPr>
                <w:sz w:val="19"/>
                <w:szCs w:val="19"/>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r>
              <w:rPr>
                <w:rFonts w:ascii="Times New Roman" w:cs="Times New Roman" w:eastAsia="Times New Roman" w:hAnsi="Times New Roman"/>
                <w:sz w:val="9"/>
                <w:szCs w:val="9"/>
                <w:color w:val="auto"/>
              </w:rPr>
              <w:t>(2)</w:t>
            </w:r>
          </w:p>
        </w:tc>
        <w:tc>
          <w:tcPr>
            <w:tcW w:w="0" w:type="dxa"/>
            <w:vAlign w:val="bottom"/>
          </w:tcPr>
          <w:p>
            <w:pPr>
              <w:spacing w:after="0"/>
              <w:rPr>
                <w:sz w:val="1"/>
                <w:szCs w:val="1"/>
                <w:color w:val="auto"/>
              </w:rPr>
            </w:pPr>
          </w:p>
        </w:tc>
      </w:tr>
      <w:tr>
        <w:trPr>
          <w:trHeight w:val="227"/>
        </w:trPr>
        <w:tc>
          <w:tcPr>
            <w:tcW w:w="4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2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center"/>
              <w:ind w:left="1511"/>
              <w:spacing w:after="0"/>
              <w:rPr>
                <w:sz w:val="20"/>
                <w:szCs w:val="20"/>
                <w:color w:val="auto"/>
              </w:rPr>
            </w:pPr>
            <w:r>
              <w:rPr>
                <w:rFonts w:ascii="Times New Roman" w:cs="Times New Roman" w:eastAsia="Times New Roman" w:hAnsi="Times New Roman"/>
                <w:sz w:val="18"/>
                <w:szCs w:val="18"/>
                <w:color w:val="auto"/>
                <w:w w:val="97"/>
              </w:rPr>
              <w:t>0.5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center"/>
              <w:ind w:left="1511"/>
              <w:spacing w:after="0"/>
              <w:rPr>
                <w:sz w:val="20"/>
                <w:szCs w:val="20"/>
                <w:color w:val="auto"/>
              </w:rPr>
            </w:pPr>
            <w:r>
              <w:rPr>
                <w:rFonts w:ascii="Times New Roman" w:cs="Times New Roman" w:eastAsia="Times New Roman" w:hAnsi="Times New Roman"/>
                <w:sz w:val="18"/>
                <w:szCs w:val="18"/>
                <w:color w:val="auto"/>
                <w:w w:val="97"/>
              </w:rPr>
              <w:t>0.5</w:t>
            </w:r>
          </w:p>
        </w:tc>
        <w:tc>
          <w:tcPr>
            <w:tcW w:w="80" w:type="dxa"/>
            <w:vAlign w:val="bottom"/>
            <w:shd w:val="clear" w:color="auto" w:fill="CCEEFF"/>
          </w:tcPr>
          <w:p>
            <w:pPr>
              <w:spacing w:after="0"/>
              <w:rPr>
                <w:sz w:val="19"/>
                <w:szCs w:val="19"/>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r>
              <w:rPr>
                <w:rFonts w:ascii="Times New Roman" w:cs="Times New Roman" w:eastAsia="Times New Roman" w:hAnsi="Times New Roman"/>
                <w:sz w:val="9"/>
                <w:szCs w:val="9"/>
                <w:color w:val="auto"/>
              </w:rPr>
              <w:t>(2)</w:t>
            </w:r>
          </w:p>
        </w:tc>
        <w:tc>
          <w:tcPr>
            <w:tcW w:w="0" w:type="dxa"/>
            <w:vAlign w:val="bottom"/>
          </w:tcPr>
          <w:p>
            <w:pPr>
              <w:spacing w:after="0"/>
              <w:rPr>
                <w:sz w:val="1"/>
                <w:szCs w:val="1"/>
                <w:color w:val="auto"/>
              </w:rPr>
            </w:pPr>
          </w:p>
        </w:tc>
      </w:tr>
      <w:tr>
        <w:trPr>
          <w:trHeight w:val="220"/>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Reclassification before tax</w:t>
            </w:r>
          </w:p>
        </w:tc>
        <w:tc>
          <w:tcPr>
            <w:tcW w:w="200" w:type="dxa"/>
            <w:vAlign w:val="bottom"/>
          </w:tcPr>
          <w:p>
            <w:pPr>
              <w:spacing w:after="0"/>
              <w:rPr>
                <w:sz w:val="19"/>
                <w:szCs w:val="19"/>
                <w:color w:val="auto"/>
              </w:rPr>
            </w:pPr>
          </w:p>
        </w:tc>
        <w:tc>
          <w:tcPr>
            <w:tcW w:w="1980" w:type="dxa"/>
            <w:vAlign w:val="bottom"/>
          </w:tcPr>
          <w:p>
            <w:pPr>
              <w:jc w:val="center"/>
              <w:ind w:left="1511"/>
              <w:spacing w:after="0"/>
              <w:rPr>
                <w:sz w:val="20"/>
                <w:szCs w:val="20"/>
                <w:color w:val="auto"/>
              </w:rPr>
            </w:pPr>
            <w:r>
              <w:rPr>
                <w:rFonts w:ascii="Times New Roman" w:cs="Times New Roman" w:eastAsia="Times New Roman" w:hAnsi="Times New Roman"/>
                <w:sz w:val="18"/>
                <w:szCs w:val="18"/>
                <w:color w:val="auto"/>
                <w:w w:val="97"/>
              </w:rPr>
              <w:t>2.8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center"/>
              <w:ind w:left="1511"/>
              <w:spacing w:after="0"/>
              <w:rPr>
                <w:sz w:val="20"/>
                <w:szCs w:val="20"/>
                <w:color w:val="auto"/>
              </w:rPr>
            </w:pPr>
            <w:r>
              <w:rPr>
                <w:rFonts w:ascii="Times New Roman" w:cs="Times New Roman" w:eastAsia="Times New Roman" w:hAnsi="Times New Roman"/>
                <w:sz w:val="18"/>
                <w:szCs w:val="18"/>
                <w:color w:val="auto"/>
                <w:w w:val="97"/>
              </w:rPr>
              <w:t>2.6</w:t>
            </w:r>
          </w:p>
        </w:tc>
        <w:tc>
          <w:tcPr>
            <w:tcW w:w="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center"/>
              <w:ind w:left="1471"/>
              <w:spacing w:after="0"/>
              <w:rPr>
                <w:sz w:val="20"/>
                <w:szCs w:val="20"/>
                <w:color w:val="auto"/>
              </w:rPr>
            </w:pPr>
            <w:r>
              <w:rPr>
                <w:rFonts w:ascii="Times New Roman" w:cs="Times New Roman" w:eastAsia="Times New Roman" w:hAnsi="Times New Roman"/>
                <w:sz w:val="18"/>
                <w:szCs w:val="18"/>
                <w:color w:val="auto"/>
                <w:w w:val="98"/>
              </w:rPr>
              <w:t>(0.7)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center"/>
              <w:ind w:left="1471"/>
              <w:spacing w:after="0"/>
              <w:rPr>
                <w:sz w:val="20"/>
                <w:szCs w:val="20"/>
                <w:color w:val="auto"/>
              </w:rPr>
            </w:pPr>
            <w:r>
              <w:rPr>
                <w:rFonts w:ascii="Times New Roman" w:cs="Times New Roman" w:eastAsia="Times New Roman" w:hAnsi="Times New Roman"/>
                <w:sz w:val="18"/>
                <w:szCs w:val="18"/>
                <w:color w:val="auto"/>
                <w:w w:val="98"/>
              </w:rPr>
              <w:t>(0.7)</w:t>
            </w:r>
          </w:p>
        </w:tc>
        <w:tc>
          <w:tcPr>
            <w:tcW w:w="80" w:type="dxa"/>
            <w:vAlign w:val="bottom"/>
            <w:shd w:val="clear" w:color="auto" w:fill="CCEEFF"/>
          </w:tcPr>
          <w:p>
            <w:pPr>
              <w:spacing w:after="0"/>
              <w:rPr>
                <w:sz w:val="19"/>
                <w:szCs w:val="19"/>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0" w:type="dxa"/>
            <w:vAlign w:val="bottom"/>
          </w:tcPr>
          <w:p>
            <w:pPr>
              <w:spacing w:after="0"/>
              <w:rPr>
                <w:sz w:val="1"/>
                <w:szCs w:val="1"/>
                <w:color w:val="auto"/>
              </w:rPr>
            </w:pPr>
          </w:p>
        </w:tc>
      </w:tr>
      <w:tr>
        <w:trPr>
          <w:trHeight w:val="220"/>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Reclassification net of tax</w:t>
            </w: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tcPr>
          <w:p>
            <w:pPr>
              <w:jc w:val="center"/>
              <w:ind w:left="1511"/>
              <w:spacing w:after="0"/>
              <w:rPr>
                <w:sz w:val="20"/>
                <w:szCs w:val="20"/>
                <w:color w:val="auto"/>
              </w:rPr>
            </w:pPr>
            <w:r>
              <w:rPr>
                <w:rFonts w:ascii="Times New Roman" w:cs="Times New Roman" w:eastAsia="Times New Roman" w:hAnsi="Times New Roman"/>
                <w:sz w:val="18"/>
                <w:szCs w:val="18"/>
                <w:color w:val="auto"/>
                <w:w w:val="97"/>
              </w:rPr>
              <w:t>2.1</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tcPr>
          <w:p>
            <w:pPr>
              <w:jc w:val="center"/>
              <w:ind w:left="1511"/>
              <w:spacing w:after="0"/>
              <w:rPr>
                <w:sz w:val="20"/>
                <w:szCs w:val="20"/>
                <w:color w:val="auto"/>
              </w:rPr>
            </w:pPr>
            <w:r>
              <w:rPr>
                <w:rFonts w:ascii="Times New Roman" w:cs="Times New Roman" w:eastAsia="Times New Roman" w:hAnsi="Times New Roman"/>
                <w:sz w:val="18"/>
                <w:szCs w:val="18"/>
                <w:color w:val="auto"/>
                <w:w w:val="97"/>
              </w:rPr>
              <w:t>1.9</w:t>
            </w:r>
          </w:p>
        </w:tc>
        <w:tc>
          <w:tcPr>
            <w:tcW w:w="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4540" w:type="dxa"/>
            <w:vAlign w:val="bottom"/>
            <w:gridSpan w:val="2"/>
          </w:tcPr>
          <w:p>
            <w:pPr>
              <w:ind w:left="180"/>
              <w:spacing w:after="0" w:line="182" w:lineRule="exact"/>
              <w:rPr>
                <w:sz w:val="20"/>
                <w:szCs w:val="20"/>
                <w:color w:val="auto"/>
              </w:rPr>
            </w:pPr>
            <w:r>
              <w:rPr>
                <w:rFonts w:ascii="Times New Roman" w:cs="Times New Roman" w:eastAsia="Times New Roman" w:hAnsi="Times New Roman"/>
                <w:sz w:val="18"/>
                <w:szCs w:val="18"/>
                <w:color w:val="auto"/>
              </w:rPr>
              <w:t>Net losses reclassified from accumulated other</w:t>
            </w:r>
          </w:p>
        </w:tc>
        <w:tc>
          <w:tcPr>
            <w:tcW w:w="20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vMerge w:val="restart"/>
          </w:tcPr>
          <w:p>
            <w:pPr>
              <w:jc w:val="center"/>
              <w:ind w:left="1511"/>
              <w:spacing w:after="0"/>
              <w:rPr>
                <w:sz w:val="20"/>
                <w:szCs w:val="20"/>
                <w:color w:val="auto"/>
              </w:rPr>
            </w:pPr>
            <w:r>
              <w:rPr>
                <w:rFonts w:ascii="Times New Roman" w:cs="Times New Roman" w:eastAsia="Times New Roman" w:hAnsi="Times New Roman"/>
                <w:sz w:val="18"/>
                <w:szCs w:val="18"/>
                <w:color w:val="auto"/>
                <w:w w:val="97"/>
              </w:rPr>
              <w:t>3.3</w:t>
            </w:r>
          </w:p>
        </w:tc>
        <w:tc>
          <w:tcPr>
            <w:tcW w:w="8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vMerge w:val="restart"/>
          </w:tcPr>
          <w:p>
            <w:pPr>
              <w:jc w:val="center"/>
              <w:ind w:left="1511"/>
              <w:spacing w:after="0"/>
              <w:rPr>
                <w:sz w:val="20"/>
                <w:szCs w:val="20"/>
                <w:color w:val="auto"/>
              </w:rPr>
            </w:pPr>
            <w:r>
              <w:rPr>
                <w:rFonts w:ascii="Times New Roman" w:cs="Times New Roman" w:eastAsia="Times New Roman" w:hAnsi="Times New Roman"/>
                <w:sz w:val="18"/>
                <w:szCs w:val="18"/>
                <w:color w:val="auto"/>
                <w:w w:val="97"/>
              </w:rPr>
              <w:t>0.2</w:t>
            </w:r>
          </w:p>
        </w:tc>
        <w:tc>
          <w:tcPr>
            <w:tcW w:w="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540" w:type="dxa"/>
            <w:vAlign w:val="bottom"/>
            <w:gridSpan w:val="2"/>
          </w:tcPr>
          <w:p>
            <w:pPr>
              <w:ind w:left="180"/>
              <w:spacing w:after="0" w:line="205" w:lineRule="exact"/>
              <w:rPr>
                <w:sz w:val="20"/>
                <w:szCs w:val="20"/>
                <w:color w:val="auto"/>
              </w:rPr>
            </w:pPr>
            <w:r>
              <w:rPr>
                <w:rFonts w:ascii="Times New Roman" w:cs="Times New Roman" w:eastAsia="Times New Roman" w:hAnsi="Times New Roman"/>
                <w:sz w:val="18"/>
                <w:szCs w:val="18"/>
                <w:color w:val="auto"/>
              </w:rPr>
              <w:t>comprehensive loss</w:t>
            </w:r>
          </w:p>
        </w:tc>
        <w:tc>
          <w:tcPr>
            <w:tcW w:w="200" w:type="dxa"/>
            <w:vAlign w:val="bottom"/>
            <w:tcBorders>
              <w:bottom w:val="single" w:sz="8" w:color="auto"/>
            </w:tcBorders>
            <w:vMerge w:val="continue"/>
          </w:tcPr>
          <w:p>
            <w:pPr>
              <w:spacing w:after="0"/>
              <w:rPr>
                <w:sz w:val="17"/>
                <w:szCs w:val="17"/>
                <w:color w:val="auto"/>
              </w:rPr>
            </w:pPr>
          </w:p>
        </w:tc>
        <w:tc>
          <w:tcPr>
            <w:tcW w:w="19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9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39" w:lineRule="exact"/>
        <w:rPr>
          <w:sz w:val="20"/>
          <w:szCs w:val="20"/>
          <w:color w:val="auto"/>
        </w:rPr>
      </w:pPr>
    </w:p>
    <w:p>
      <w:pPr>
        <w:ind w:left="340" w:hanging="253"/>
        <w:spacing w:after="0"/>
        <w:tabs>
          <w:tab w:leader="none" w:pos="340"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Losses (Gains) included within the Condensed Consolidated Statements of Operations for the three months ended March 31, 2026 and 2025, respectively.</w:t>
      </w:r>
    </w:p>
    <w:p>
      <w:pPr>
        <w:spacing w:after="0" w:line="29" w:lineRule="exact"/>
        <w:rPr>
          <w:rFonts w:ascii="Times New Roman" w:cs="Times New Roman" w:eastAsia="Times New Roman" w:hAnsi="Times New Roman"/>
          <w:sz w:val="9"/>
          <w:szCs w:val="9"/>
          <w:color w:val="auto"/>
        </w:rPr>
      </w:pPr>
    </w:p>
    <w:p>
      <w:pPr>
        <w:ind w:left="340" w:hanging="253"/>
        <w:spacing w:after="0"/>
        <w:tabs>
          <w:tab w:leader="none" w:pos="340"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 xml:space="preserve">These accumulated other comprehensive loss components are included in the computation of net periodic pension and postretirement benefit cost. Refer to </w:t>
      </w:r>
      <w:r>
        <w:rPr>
          <w:rFonts w:ascii="Times New Roman" w:cs="Times New Roman" w:eastAsia="Times New Roman" w:hAnsi="Times New Roman"/>
          <w:sz w:val="14"/>
          <w:szCs w:val="14"/>
          <w:u w:val="single" w:color="auto"/>
          <w:color w:val="0000FF"/>
        </w:rPr>
        <w:t>Note 13</w:t>
      </w:r>
      <w:r>
        <w:rPr>
          <w:rFonts w:ascii="Times New Roman" w:cs="Times New Roman" w:eastAsia="Times New Roman" w:hAnsi="Times New Roman"/>
          <w:sz w:val="14"/>
          <w:szCs w:val="14"/>
          <w:color w:val="auto"/>
        </w:rPr>
        <w:t xml:space="preserve"> for additional information.</w:t>
      </w:r>
    </w:p>
    <w:p>
      <w:pPr>
        <w:spacing w:after="0" w:line="2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48" w:lineRule="exact"/>
        <w:rPr>
          <w:sz w:val="20"/>
          <w:szCs w:val="20"/>
          <w:color w:val="auto"/>
        </w:rPr>
      </w:pPr>
    </w:p>
    <w:p>
      <w:pPr>
        <w:ind w:right="40" w:firstLine="178"/>
        <w:spacing w:after="0" w:line="257" w:lineRule="auto"/>
        <w:rPr>
          <w:sz w:val="20"/>
          <w:szCs w:val="20"/>
          <w:color w:val="auto"/>
        </w:rPr>
      </w:pPr>
      <w:r>
        <w:rPr>
          <w:rFonts w:ascii="Times New Roman" w:cs="Times New Roman" w:eastAsia="Times New Roman" w:hAnsi="Times New Roman"/>
          <w:sz w:val="18"/>
          <w:szCs w:val="18"/>
          <w:color w:val="auto"/>
        </w:rPr>
        <w:t>On July 9, 2025, the Company's Board of Directors authorized a new share repurchase program authorizing the Company to repurchase up to $1.0 billion of the Company's common stock, which has no expiration date. In November 2025, the Company entered into accelerated share repurchase (“ASR”) agreements with two financial institutions to repurchase an aggregate of $250.0 million of shares of its common stock. The Company received approximately 1,997,204 shares associated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with these transactions as of December 31, 2025. In February 2026, the Company received an additional 333,755 shares upon final settlement of its November 2025 ASR agreements. All shares received under the ASR agreements were retired upon receipt, and the excess of the purchase price over par value per share was recorded to a combination of “Additional paid-in capital” and “Retained earnings” within the Company’s Condensed Consolidated Balance Sheets. In conjunction with the Cooperation Agreement entered into with Tractors and Farm Equipment Limited (“TAFE”) in June 2025 (the “Cooperation Agreement”), TAFE agreed to participate on a pro rata basis in the Company’s share repurchase programs as authorized by the Company’s Board of Directors from time to time. Under the Cooperation Agreement, TAFE also retains the right to maintain its existing percentage of beneficial ownership of the Company’s common stock. In February 2026, pursuant to the Cooperation Agreement, the Company committed to repurchase a pro-rata amount of shares from TAFE related to the Company's most recent share repurchase program executed in the fourth quarter of 2025, with settlement expected to occur in May 2026. The Company accounted for this arrangement as a forward share repurchase contract and, as of March 31, 2026, recorded a liability with an offsetting reduction to a combination of “Additional paid-in capital” and “Retained earnings” in the Company’s Condensed Consolidated Balance Sheets. During the three months ended March 31, 2026, the Company did not purchase any shares directly or enter into any accelerated share repurchase agreements.</w:t>
      </w:r>
    </w:p>
    <w:p>
      <w:pPr>
        <w:spacing w:after="0" w:line="222" w:lineRule="exact"/>
        <w:rPr>
          <w:sz w:val="20"/>
          <w:szCs w:val="20"/>
          <w:color w:val="auto"/>
        </w:rPr>
      </w:pPr>
    </w:p>
    <w:p>
      <w:pPr>
        <w:ind w:right="480" w:firstLine="168"/>
        <w:spacing w:after="0" w:line="276" w:lineRule="auto"/>
        <w:rPr>
          <w:sz w:val="20"/>
          <w:szCs w:val="20"/>
          <w:color w:val="auto"/>
        </w:rPr>
      </w:pPr>
      <w:r>
        <w:rPr>
          <w:rFonts w:ascii="Times New Roman" w:cs="Times New Roman" w:eastAsia="Times New Roman" w:hAnsi="Times New Roman"/>
          <w:sz w:val="18"/>
          <w:szCs w:val="18"/>
          <w:color w:val="auto"/>
        </w:rPr>
        <w:t>As of March 31, 2026, the remaining amount authorized to be repurchased under board-approved share repurchase authorizations was approximately $785.0 million, which has no expiration date.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48" w:lineRule="exact"/>
        <w:rPr>
          <w:sz w:val="20"/>
          <w:szCs w:val="20"/>
          <w:color w:val="auto"/>
        </w:rPr>
      </w:pPr>
    </w:p>
    <w:p>
      <w:pPr>
        <w:ind w:firstLine="178"/>
        <w:spacing w:after="0" w:line="257"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declared and paid cash dividends of $0.29 and $0.29 per common share, respectively. On April 23, 2026, the Company's Board of Directors approved an increase in the Company's regular quarterly dividend to $0.30 per share, from $0.29 per share. In addition, the Company's Board of Directors declared a regular quarterly dividend of $0.30 per common share to be paid on June 15, 2026, to all stockholders of record as of the close of business on May 15, 2026.</w:t>
      </w:r>
    </w:p>
    <w:p>
      <w:pPr>
        <w:spacing w:after="0" w:line="20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NET INCOME PER COMMON SHARE</w:t>
      </w:r>
    </w:p>
    <w:p>
      <w:pPr>
        <w:spacing w:after="0" w:line="248" w:lineRule="exact"/>
        <w:rPr>
          <w:sz w:val="20"/>
          <w:szCs w:val="20"/>
          <w:color w:val="auto"/>
        </w:rPr>
      </w:pPr>
    </w:p>
    <w:p>
      <w:pPr>
        <w:ind w:right="200" w:firstLine="178"/>
        <w:spacing w:after="0" w:line="257" w:lineRule="auto"/>
        <w:rPr>
          <w:sz w:val="20"/>
          <w:szCs w:val="20"/>
          <w:color w:val="auto"/>
        </w:rPr>
      </w:pPr>
      <w:r>
        <w:rPr>
          <w:rFonts w:ascii="Times New Roman" w:cs="Times New Roman" w:eastAsia="Times New Roman" w:hAnsi="Times New Roman"/>
          <w:sz w:val="18"/>
          <w:szCs w:val="18"/>
          <w:color w:val="auto"/>
        </w:rPr>
        <w:t>Basic net income per common share is computed by dividing net income by the weighted average number of common shares outstanding during each period. Diluted net income per common share assumes the exercise of outstanding stock-settled stock appreciation rights (“SSARs”) and the vesting of restricted stock unit awards (“RSUs”) using the treasury stock method when there is no other circumstance other than the passage of time under which they would not be issued, and the effects of such assumptions are dilutive.</w:t>
      </w:r>
    </w:p>
    <w:p>
      <w:pPr>
        <w:spacing w:after="0" w:line="206" w:lineRule="exact"/>
        <w:rPr>
          <w:sz w:val="20"/>
          <w:szCs w:val="20"/>
          <w:color w:val="auto"/>
        </w:rPr>
      </w:pPr>
    </w:p>
    <w:p>
      <w:pPr>
        <w:ind w:right="140" w:firstLine="168"/>
        <w:spacing w:after="0" w:line="276" w:lineRule="auto"/>
        <w:rPr>
          <w:sz w:val="20"/>
          <w:szCs w:val="20"/>
          <w:color w:val="auto"/>
        </w:rPr>
      </w:pPr>
      <w:r>
        <w:rPr>
          <w:rFonts w:ascii="Times New Roman" w:cs="Times New Roman" w:eastAsia="Times New Roman" w:hAnsi="Times New Roman"/>
          <w:sz w:val="18"/>
          <w:szCs w:val="18"/>
          <w:color w:val="auto"/>
        </w:rPr>
        <w:t>A reconciliation of net income attributable to AGCO Corporation and weighted average common shares outstanding for purposes of calculating basic and diluted net income per share for the three months ended March 31, 2026 and 2025 is as follows (in millions, except per share data):</w:t>
      </w:r>
    </w:p>
    <w:p>
      <w:pPr>
        <w:spacing w:after="0" w:line="217" w:lineRule="exact"/>
        <w:rPr>
          <w:sz w:val="20"/>
          <w:szCs w:val="20"/>
          <w:color w:val="auto"/>
        </w:rPr>
      </w:pPr>
    </w:p>
    <w:p>
      <w:pPr>
        <w:jc w:val="center"/>
        <w:ind w:left="90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90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906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7"/>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9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attributable to AGCO Corporation</w:t>
            </w: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90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9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9060" w:type="dxa"/>
            <w:vAlign w:val="bottom"/>
          </w:tcPr>
          <w:p>
            <w:pPr>
              <w:ind w:left="20"/>
              <w:spacing w:after="0" w:line="200" w:lineRule="exact"/>
              <w:rPr>
                <w:sz w:val="20"/>
                <w:szCs w:val="20"/>
                <w:color w:val="auto"/>
              </w:rPr>
            </w:pPr>
            <w:r>
              <w:rPr>
                <w:rFonts w:ascii="Times New Roman" w:cs="Times New Roman" w:eastAsia="Times New Roman" w:hAnsi="Times New Roman"/>
                <w:sz w:val="18"/>
                <w:szCs w:val="18"/>
                <w:color w:val="auto"/>
              </w:rPr>
              <w:t>Basic net income per share attributable to AGCO Corporation</w:t>
            </w:r>
          </w:p>
        </w:tc>
        <w:tc>
          <w:tcPr>
            <w:tcW w:w="240" w:type="dxa"/>
            <w:vAlign w:val="bottom"/>
            <w:tcBorders>
              <w:bottom w:val="single" w:sz="8" w:color="auto"/>
            </w:tcBorders>
          </w:tcPr>
          <w:p>
            <w:pPr>
              <w:jc w:val="right"/>
              <w:ind w:right="31"/>
              <w:spacing w:after="0" w:line="200"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0.76</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1"/>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0"/>
        </w:trPr>
        <w:tc>
          <w:tcPr>
            <w:tcW w:w="90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9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attributable to AGCO Corporation</w:t>
            </w: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90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9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227"/>
        </w:trPr>
        <w:tc>
          <w:tcPr>
            <w:tcW w:w="9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Dilutive SSARs and RSUs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153"/>
        </w:trPr>
        <w:tc>
          <w:tcPr>
            <w:tcW w:w="9060" w:type="dxa"/>
            <w:vAlign w:val="bottom"/>
            <w:shd w:val="clear" w:color="auto" w:fill="CCEEFF"/>
          </w:tcPr>
          <w:p>
            <w:pPr>
              <w:ind w:left="180"/>
              <w:spacing w:after="0" w:line="154" w:lineRule="exact"/>
              <w:rPr>
                <w:sz w:val="20"/>
                <w:szCs w:val="20"/>
                <w:color w:val="auto"/>
              </w:rPr>
            </w:pPr>
            <w:r>
              <w:rPr>
                <w:rFonts w:ascii="Times New Roman" w:cs="Times New Roman" w:eastAsia="Times New Roman" w:hAnsi="Times New Roman"/>
                <w:sz w:val="17"/>
                <w:szCs w:val="17"/>
                <w:color w:val="auto"/>
              </w:rPr>
              <w:t>Weighted average number of common shares and common share equivalents outstanding for purposes of computing diluted</w:t>
            </w:r>
          </w:p>
        </w:tc>
        <w:tc>
          <w:tcPr>
            <w:tcW w:w="2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33"/>
        </w:trPr>
        <w:tc>
          <w:tcPr>
            <w:tcW w:w="9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per share</w:t>
            </w: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9060" w:type="dxa"/>
            <w:vAlign w:val="bottom"/>
          </w:tcPr>
          <w:p>
            <w:pPr>
              <w:ind w:left="20"/>
              <w:spacing w:after="0" w:line="200" w:lineRule="exact"/>
              <w:rPr>
                <w:sz w:val="20"/>
                <w:szCs w:val="20"/>
                <w:color w:val="auto"/>
              </w:rPr>
            </w:pPr>
            <w:r>
              <w:rPr>
                <w:rFonts w:ascii="Times New Roman" w:cs="Times New Roman" w:eastAsia="Times New Roman" w:hAnsi="Times New Roman"/>
                <w:sz w:val="18"/>
                <w:szCs w:val="18"/>
                <w:color w:val="auto"/>
              </w:rPr>
              <w:t>Diluted net income per share attributable to AGCO Corporation</w:t>
            </w:r>
          </w:p>
        </w:tc>
        <w:tc>
          <w:tcPr>
            <w:tcW w:w="240" w:type="dxa"/>
            <w:vAlign w:val="bottom"/>
            <w:tcBorders>
              <w:bottom w:val="single" w:sz="8" w:color="auto"/>
            </w:tcBorders>
          </w:tcPr>
          <w:p>
            <w:pPr>
              <w:jc w:val="right"/>
              <w:ind w:right="31"/>
              <w:spacing w:after="0" w:line="200"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0.76</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1"/>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income tax provision and effective tax rate for the three months ended March 31, 2026 and 2025 are set forth below (in millions, except percentages):</w:t>
      </w:r>
    </w:p>
    <w:p>
      <w:pPr>
        <w:spacing w:after="0" w:line="296"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17145</wp:posOffset>
            </wp:positionV>
            <wp:extent cx="29705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970530" cy="8255"/>
                    </a:xfrm>
                    <a:prstGeom prst="rect">
                      <a:avLst/>
                    </a:prstGeom>
                    <a:noFill/>
                  </pic:spPr>
                </pic:pic>
              </a:graphicData>
            </a:graphic>
          </wp:anchor>
        </w:drawing>
      </w:r>
    </w:p>
    <w:p>
      <w:pPr>
        <w:spacing w:after="0" w:line="13" w:lineRule="exact"/>
        <w:rPr>
          <w:sz w:val="20"/>
          <w:szCs w:val="20"/>
          <w:color w:val="auto"/>
        </w:rPr>
      </w:pPr>
    </w:p>
    <w:p>
      <w:pPr>
        <w:ind w:left="7540"/>
        <w:spacing w:after="0"/>
        <w:tabs>
          <w:tab w:leader="none" w:pos="9900" w:val="left"/>
        </w:tabs>
        <w:rPr>
          <w:sz w:val="20"/>
          <w:szCs w:val="20"/>
          <w:color w:val="auto"/>
        </w:rPr>
      </w:pPr>
      <w:r>
        <w:rPr>
          <w:rFonts w:ascii="Times New Roman" w:cs="Times New Roman" w:eastAsia="Times New Roman" w:hAnsi="Times New Roman"/>
          <w:sz w:val="18"/>
          <w:szCs w:val="18"/>
          <w:b w:val="1"/>
          <w:bCs w:val="1"/>
          <w:color w:val="auto"/>
        </w:rPr>
        <w:t>2026</w:t>
      </w:r>
      <w:r>
        <w:rPr>
          <w:sz w:val="20"/>
          <w:szCs w:val="20"/>
          <w:color w:val="auto"/>
        </w:rPr>
        <w:tab/>
      </w:r>
      <w:r>
        <w:rPr>
          <w:rFonts w:ascii="Times New Roman" w:cs="Times New Roman" w:eastAsia="Times New Roman" w:hAnsi="Times New Roman"/>
          <w:sz w:val="18"/>
          <w:szCs w:val="18"/>
          <w:b w:val="1"/>
          <w:bCs w:val="1"/>
          <w:color w:val="auto"/>
        </w:rPr>
        <w:t>2025</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56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and effective tax rate</w:t>
            </w: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w:t>
            </w:r>
          </w:p>
        </w:tc>
      </w:tr>
    </w:tbl>
    <w:p>
      <w:pPr>
        <w:spacing w:after="0" w:line="3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Our effective tax rate varies from period to period due to the mix of taxable income and losses in the various tax jurisdictions in which we operate.</w:t>
      </w:r>
    </w:p>
    <w:p>
      <w:pPr>
        <w:spacing w:after="0" w:line="246" w:lineRule="exact"/>
        <w:rPr>
          <w:sz w:val="20"/>
          <w:szCs w:val="20"/>
          <w:color w:val="auto"/>
        </w:rPr>
      </w:pPr>
    </w:p>
    <w:p>
      <w:pPr>
        <w:ind w:right="120" w:firstLine="174"/>
        <w:spacing w:after="0" w:line="253" w:lineRule="auto"/>
        <w:rPr>
          <w:sz w:val="20"/>
          <w:szCs w:val="20"/>
          <w:color w:val="auto"/>
        </w:rPr>
      </w:pPr>
      <w:r>
        <w:rPr>
          <w:rFonts w:ascii="Times New Roman" w:cs="Times New Roman" w:eastAsia="Times New Roman" w:hAnsi="Times New Roman"/>
          <w:sz w:val="18"/>
          <w:szCs w:val="18"/>
          <w:color w:val="auto"/>
        </w:rPr>
        <w:t>The Company maintains a valuation allowance to reserve a portion of its net deferred tax assets in the United States and certain foreign jurisdictions. A valuation allowance is established when it is more likely than not that some portion or all of the deferred tax assets will not be realized. The Company regularly assesses the likelihood that its deferred tax assets will be recovered from estimated future taxable income and available tax planning strategies and has determined that all adjustments to the valuation allowances have been deemed appropriate. In making this assessment, all available evidence was considered including the current economic climate, as well as reasonable tax planning strategies. The Company believes it is more likely than not that it will realize its remaining net deferred tax assets, net of the valuation allowance, in future years.</w:t>
      </w:r>
    </w:p>
    <w:p>
      <w:pPr>
        <w:spacing w:after="0" w:line="20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PENSION AND POSTRETIREMENT BENEFIT PLANS</w:t>
      </w:r>
    </w:p>
    <w:p>
      <w:pPr>
        <w:spacing w:after="0" w:line="2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periodic pension and postretirement benefit cost for the Company’s defined pension and postretirement benefit plans for the three months ended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2025 are set forth below (in millions):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Service cost</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cost</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Amortization of net actuarial losses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periodic pension cost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Postretirement benefits</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5"/>
        </w:trPr>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center"/>
              <w:ind w:left="691"/>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center"/>
              <w:ind w:left="691"/>
              <w:spacing w:after="0"/>
              <w:rPr>
                <w:sz w:val="20"/>
                <w:szCs w:val="20"/>
                <w:color w:val="auto"/>
              </w:rPr>
            </w:pPr>
            <w:r>
              <w:rPr>
                <w:rFonts w:ascii="Times New Roman" w:cs="Times New Roman" w:eastAsia="Times New Roman" w:hAnsi="Times New Roman"/>
                <w:sz w:val="18"/>
                <w:szCs w:val="18"/>
                <w:color w:val="auto"/>
              </w:rPr>
              <w:t>1.8</w:t>
            </w:r>
          </w:p>
        </w:tc>
      </w:tr>
      <w:tr>
        <w:trPr>
          <w:trHeight w:val="227"/>
        </w:trPr>
        <w:tc>
          <w:tcPr>
            <w:tcW w:w="320" w:type="dxa"/>
            <w:vAlign w:val="bottom"/>
          </w:tcPr>
          <w:p>
            <w:pPr>
              <w:spacing w:after="0"/>
              <w:rPr>
                <w:sz w:val="19"/>
                <w:szCs w:val="19"/>
                <w:color w:val="auto"/>
              </w:rPr>
            </w:pPr>
          </w:p>
        </w:tc>
        <w:tc>
          <w:tcPr>
            <w:tcW w:w="1140" w:type="dxa"/>
            <w:vAlign w:val="bottom"/>
          </w:tcPr>
          <w:p>
            <w:pPr>
              <w:jc w:val="center"/>
              <w:ind w:left="691"/>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center"/>
              <w:ind w:left="691"/>
              <w:spacing w:after="0"/>
              <w:rPr>
                <w:sz w:val="20"/>
                <w:szCs w:val="20"/>
                <w:color w:val="auto"/>
              </w:rPr>
            </w:pPr>
            <w:r>
              <w:rPr>
                <w:rFonts w:ascii="Times New Roman" w:cs="Times New Roman" w:eastAsia="Times New Roman" w:hAnsi="Times New Roman"/>
                <w:sz w:val="18"/>
                <w:szCs w:val="18"/>
                <w:color w:val="auto"/>
              </w:rPr>
              <w:t>6.6</w:t>
            </w:r>
          </w:p>
        </w:tc>
      </w:tr>
      <w:tr>
        <w:trPr>
          <w:trHeight w:val="227"/>
        </w:trPr>
        <w:tc>
          <w:tcPr>
            <w:tcW w:w="320" w:type="dxa"/>
            <w:vAlign w:val="bottom"/>
          </w:tcPr>
          <w:p>
            <w:pPr>
              <w:spacing w:after="0"/>
              <w:rPr>
                <w:sz w:val="19"/>
                <w:szCs w:val="19"/>
                <w:color w:val="auto"/>
              </w:rPr>
            </w:pPr>
          </w:p>
        </w:tc>
        <w:tc>
          <w:tcPr>
            <w:tcW w:w="1140" w:type="dxa"/>
            <w:vAlign w:val="bottom"/>
          </w:tcPr>
          <w:p>
            <w:pPr>
              <w:jc w:val="center"/>
              <w:ind w:left="671"/>
              <w:spacing w:after="0"/>
              <w:rPr>
                <w:sz w:val="20"/>
                <w:szCs w:val="20"/>
                <w:color w:val="auto"/>
              </w:rPr>
            </w:pPr>
            <w:r>
              <w:rPr>
                <w:rFonts w:ascii="Times New Roman" w:cs="Times New Roman" w:eastAsia="Times New Roman" w:hAnsi="Times New Roman"/>
                <w:sz w:val="18"/>
                <w:szCs w:val="18"/>
                <w:color w:val="auto"/>
                <w:w w:val="98"/>
              </w:rPr>
              <w:t>(7.5)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center"/>
              <w:ind w:left="671"/>
              <w:spacing w:after="0"/>
              <w:rPr>
                <w:sz w:val="20"/>
                <w:szCs w:val="20"/>
                <w:color w:val="auto"/>
              </w:rPr>
            </w:pPr>
            <w:r>
              <w:rPr>
                <w:rFonts w:ascii="Times New Roman" w:cs="Times New Roman" w:eastAsia="Times New Roman" w:hAnsi="Times New Roman"/>
                <w:sz w:val="18"/>
                <w:szCs w:val="18"/>
                <w:color w:val="auto"/>
                <w:w w:val="98"/>
              </w:rPr>
              <w:t>(6.3)</w:t>
            </w:r>
          </w:p>
        </w:tc>
      </w:tr>
      <w:tr>
        <w:trPr>
          <w:trHeight w:val="227"/>
        </w:trPr>
        <w:tc>
          <w:tcPr>
            <w:tcW w:w="320" w:type="dxa"/>
            <w:vAlign w:val="bottom"/>
          </w:tcPr>
          <w:p>
            <w:pPr>
              <w:spacing w:after="0"/>
              <w:rPr>
                <w:sz w:val="19"/>
                <w:szCs w:val="19"/>
                <w:color w:val="auto"/>
              </w:rPr>
            </w:pPr>
          </w:p>
        </w:tc>
        <w:tc>
          <w:tcPr>
            <w:tcW w:w="1140" w:type="dxa"/>
            <w:vAlign w:val="bottom"/>
          </w:tcPr>
          <w:p>
            <w:pPr>
              <w:jc w:val="center"/>
              <w:ind w:left="691"/>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center"/>
              <w:ind w:left="691"/>
              <w:spacing w:after="0"/>
              <w:rPr>
                <w:sz w:val="20"/>
                <w:szCs w:val="20"/>
                <w:color w:val="auto"/>
              </w:rPr>
            </w:pPr>
            <w:r>
              <w:rPr>
                <w:rFonts w:ascii="Times New Roman" w:cs="Times New Roman" w:eastAsia="Times New Roman" w:hAnsi="Times New Roman"/>
                <w:sz w:val="18"/>
                <w:szCs w:val="18"/>
                <w:color w:val="auto"/>
              </w:rPr>
              <w:t>2.1</w:t>
            </w:r>
          </w:p>
        </w:tc>
      </w:tr>
      <w:tr>
        <w:trPr>
          <w:trHeight w:val="232"/>
        </w:trPr>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left="691"/>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left="691"/>
              <w:spacing w:after="0"/>
              <w:rPr>
                <w:sz w:val="20"/>
                <w:szCs w:val="20"/>
                <w:color w:val="auto"/>
              </w:rPr>
            </w:pPr>
            <w:r>
              <w:rPr>
                <w:rFonts w:ascii="Times New Roman" w:cs="Times New Roman" w:eastAsia="Times New Roman" w:hAnsi="Times New Roman"/>
                <w:sz w:val="18"/>
                <w:szCs w:val="18"/>
                <w:color w:val="auto"/>
              </w:rPr>
              <w:t>0.4</w:t>
            </w:r>
          </w:p>
        </w:tc>
      </w:tr>
      <w:tr>
        <w:trPr>
          <w:trHeight w:val="220"/>
        </w:trPr>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center"/>
              <w:ind w:left="691"/>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center"/>
              <w:ind w:left="691"/>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-5214620</wp:posOffset>
            </wp:positionH>
            <wp:positionV relativeFrom="paragraph">
              <wp:posOffset>-617220</wp:posOffset>
            </wp:positionV>
            <wp:extent cx="7134225" cy="144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-5214620</wp:posOffset>
            </wp:positionH>
            <wp:positionV relativeFrom="paragraph">
              <wp:posOffset>-329565</wp:posOffset>
            </wp:positionV>
            <wp:extent cx="7134225" cy="144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-5214620</wp:posOffset>
            </wp:positionH>
            <wp:positionV relativeFrom="paragraph">
              <wp:posOffset>-913130</wp:posOffset>
            </wp:positionV>
            <wp:extent cx="7134225" cy="152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19208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20875" cy="8255"/>
                    </a:xfrm>
                    <a:prstGeom prst="rect">
                      <a:avLst/>
                    </a:prstGeom>
                    <a:noFill/>
                  </pic:spPr>
                </pic:pic>
              </a:graphicData>
            </a:graphic>
          </wp:anchor>
        </w:drawing>
      </w:r>
    </w:p>
    <w:p>
      <w:pPr>
        <w:spacing w:after="0" w:line="13" w:lineRule="exact"/>
        <w:rPr>
          <w:sz w:val="20"/>
          <w:szCs w:val="20"/>
          <w:color w:val="auto"/>
        </w:rPr>
      </w:pPr>
    </w:p>
    <w:p>
      <w:pPr>
        <w:ind w:left="560"/>
        <w:spacing w:after="0"/>
        <w:tabs>
          <w:tab w:leader="none" w:pos="2100" w:val="left"/>
        </w:tabs>
        <w:rPr>
          <w:sz w:val="20"/>
          <w:szCs w:val="20"/>
          <w:color w:val="auto"/>
        </w:rPr>
      </w:pPr>
      <w:r>
        <w:rPr>
          <w:rFonts w:ascii="Times New Roman" w:cs="Times New Roman" w:eastAsia="Times New Roman" w:hAnsi="Times New Roman"/>
          <w:sz w:val="18"/>
          <w:szCs w:val="18"/>
          <w:b w:val="1"/>
          <w:bCs w:val="1"/>
          <w:color w:val="auto"/>
        </w:rPr>
        <w:t>2026</w:t>
      </w:r>
      <w:r>
        <w:rPr>
          <w:sz w:val="20"/>
          <w:szCs w:val="20"/>
          <w:color w:val="auto"/>
        </w:rPr>
        <w:tab/>
      </w:r>
      <w:r>
        <w:rPr>
          <w:rFonts w:ascii="Times New Roman" w:cs="Times New Roman" w:eastAsia="Times New Roman" w:hAnsi="Times New Roman"/>
          <w:sz w:val="18"/>
          <w:szCs w:val="18"/>
          <w:b w:val="1"/>
          <w:bCs w:val="1"/>
          <w:color w:val="auto"/>
        </w:rPr>
        <w:t>2025</w:t>
      </w:r>
    </w:p>
    <w:p>
      <w:pPr>
        <w:spacing w:after="0" w:line="25" w:lineRule="exact"/>
        <w:rPr>
          <w:sz w:val="20"/>
          <w:szCs w:val="20"/>
          <w:color w:val="auto"/>
        </w:rPr>
      </w:pPr>
    </w:p>
    <w:p>
      <w:pPr>
        <w:sectPr>
          <w:pgSz w:w="11900" w:h="16838" w:orient="portrait"/>
          <w:cols w:equalWidth="0" w:num="2">
            <w:col w:w="7500" w:space="720"/>
            <w:col w:w="30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8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7"/>
        </w:trPr>
        <w:tc>
          <w:tcPr>
            <w:tcW w:w="8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6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5"/>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postretirement benefit cost</w:t>
            </w:r>
          </w:p>
        </w:tc>
        <w:tc>
          <w:tcPr>
            <w:tcW w:w="640" w:type="dxa"/>
            <w:vAlign w:val="bottom"/>
            <w:tcBorders>
              <w:bottom w:val="single" w:sz="8" w:color="auto"/>
            </w:tcBorders>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ind w:firstLine="174"/>
        <w:spacing w:after="0" w:line="276" w:lineRule="auto"/>
        <w:rPr>
          <w:sz w:val="20"/>
          <w:szCs w:val="20"/>
          <w:color w:val="auto"/>
        </w:rPr>
      </w:pPr>
      <w:r>
        <w:rPr>
          <w:rFonts w:ascii="Times New Roman" w:cs="Times New Roman" w:eastAsia="Times New Roman" w:hAnsi="Times New Roman"/>
          <w:sz w:val="18"/>
          <w:szCs w:val="18"/>
          <w:color w:val="auto"/>
        </w:rPr>
        <w:t>The components of net periodic pension and postretirement benefits cost, other than the service cost component, are included in “Other expense, net” in the Company’s Condensed Consolidated Statements of Operations.</w:t>
      </w:r>
    </w:p>
    <w:p>
      <w:pPr>
        <w:spacing w:after="0" w:line="190" w:lineRule="exact"/>
        <w:rPr>
          <w:sz w:val="20"/>
          <w:szCs w:val="20"/>
          <w:color w:val="auto"/>
        </w:rPr>
      </w:pPr>
    </w:p>
    <w:p>
      <w:pPr>
        <w:ind w:right="160" w:firstLine="178"/>
        <w:spacing w:after="0" w:line="276" w:lineRule="auto"/>
        <w:rPr>
          <w:sz w:val="20"/>
          <w:szCs w:val="20"/>
          <w:color w:val="auto"/>
        </w:rPr>
      </w:pPr>
      <w:r>
        <w:rPr>
          <w:rFonts w:ascii="Times New Roman" w:cs="Times New Roman" w:eastAsia="Times New Roman" w:hAnsi="Times New Roman"/>
          <w:sz w:val="18"/>
          <w:szCs w:val="18"/>
          <w:color w:val="auto"/>
        </w:rPr>
        <w:t>During the three months ended March 31, 2026, the Company made approximately $6.0 million of contributions to its defined pension benefit plans. The Company currently estimates its minimum contributions for 2026 to its defined pension benefit plans will aggregate to approximately $15.3 million.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160" w:firstLine="178"/>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the Company made approximately $0.5 million of contributions to its postretirement health care and life insurance benefit plans. The Company currently estimates that it will make approximately $2.1 million of contributions to its postretirement health care and life insurance benefit plans during 2026.</w:t>
      </w:r>
    </w:p>
    <w:p>
      <w:pPr>
        <w:spacing w:after="0" w:line="20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248" w:lineRule="exact"/>
        <w:rPr>
          <w:sz w:val="20"/>
          <w:szCs w:val="20"/>
          <w:color w:val="auto"/>
        </w:rPr>
      </w:pPr>
    </w:p>
    <w:p>
      <w:pPr>
        <w:ind w:firstLine="178"/>
        <w:spacing w:after="0" w:line="257" w:lineRule="auto"/>
        <w:rPr>
          <w:sz w:val="20"/>
          <w:szCs w:val="20"/>
          <w:color w:val="auto"/>
        </w:rPr>
      </w:pPr>
      <w:r>
        <w:rPr>
          <w:rFonts w:ascii="Times New Roman" w:cs="Times New Roman" w:eastAsia="Times New Roman" w:hAnsi="Times New Roman"/>
          <w:sz w:val="18"/>
          <w:szCs w:val="18"/>
          <w:color w:val="auto"/>
        </w:rPr>
        <w:t>The Company categorizes its assets and liabilities into one of three levels based on the assumptions used in valuing the asset or liability. Estimates of fair value for financial assets and liabilities are based on a fair value hierarchy that prioritizes the inputs to valuation techniques used to measure fair value. Observable inputs (highest level) reflect market data obtained from independent sources, while unobservable inputs (lowest level) reflect internally developed market assumptions. In accordance with this guidance, fair value measurements are classified under the following hierarchy:</w:t>
      </w:r>
    </w:p>
    <w:p>
      <w:pPr>
        <w:spacing w:after="0" w:line="73" w:lineRule="exact"/>
        <w:rPr>
          <w:sz w:val="20"/>
          <w:szCs w:val="20"/>
          <w:color w:val="auto"/>
        </w:rPr>
      </w:pPr>
    </w:p>
    <w:p>
      <w:pPr>
        <w:ind w:left="640" w:hanging="314"/>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59" w:lineRule="exact"/>
        <w:rPr>
          <w:rFonts w:ascii="Times New Roman" w:cs="Times New Roman" w:eastAsia="Times New Roman" w:hAnsi="Times New Roman"/>
          <w:sz w:val="18"/>
          <w:szCs w:val="18"/>
          <w:color w:val="auto"/>
        </w:rPr>
      </w:pPr>
    </w:p>
    <w:p>
      <w:pPr>
        <w:ind w:left="640" w:right="120" w:hanging="314"/>
        <w:spacing w:after="0" w:line="261"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Quoted prices for similar assets or liabilities in active markets; quoted prices for identical or similar assets or liabilities in markets that are not active; and model-derived valuations in which all significant inputs are observable or can be corroborated by observable market data for substantially the full term of the assets or liabilities.</w:t>
      </w:r>
    </w:p>
    <w:p>
      <w:pPr>
        <w:spacing w:after="0" w:line="17"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Model-derived valuations in which one or more significant inputs are unobservable.</w:t>
      </w:r>
    </w:p>
    <w:p>
      <w:pPr>
        <w:spacing w:after="0" w:line="166" w:lineRule="exact"/>
        <w:rPr>
          <w:sz w:val="20"/>
          <w:szCs w:val="20"/>
          <w:color w:val="auto"/>
        </w:rPr>
      </w:pPr>
    </w:p>
    <w:p>
      <w:pPr>
        <w:ind w:right="60" w:firstLine="174"/>
        <w:spacing w:after="0" w:line="276" w:lineRule="auto"/>
        <w:rPr>
          <w:sz w:val="20"/>
          <w:szCs w:val="20"/>
          <w:color w:val="auto"/>
        </w:rPr>
      </w:pPr>
      <w:r>
        <w:rPr>
          <w:rFonts w:ascii="Times New Roman" w:cs="Times New Roman" w:eastAsia="Times New Roman" w:hAnsi="Times New Roman"/>
          <w:sz w:val="18"/>
          <w:szCs w:val="18"/>
          <w:color w:val="auto"/>
        </w:rPr>
        <w:t>The Company categorizes its pension plan assets into one of the three levels of the fair value hierarchy, except for those measured using the net asset value per share (or its equivalent) practical expedient.</w:t>
      </w:r>
    </w:p>
    <w:p>
      <w:pPr>
        <w:spacing w:after="0" w:line="190" w:lineRule="exact"/>
        <w:rPr>
          <w:sz w:val="20"/>
          <w:szCs w:val="20"/>
          <w:color w:val="auto"/>
        </w:rPr>
      </w:pPr>
    </w:p>
    <w:p>
      <w:pPr>
        <w:ind w:right="40" w:firstLine="174"/>
        <w:spacing w:after="0" w:line="254" w:lineRule="auto"/>
        <w:rPr>
          <w:sz w:val="20"/>
          <w:szCs w:val="20"/>
          <w:color w:val="auto"/>
        </w:rPr>
      </w:pPr>
      <w:r>
        <w:rPr>
          <w:rFonts w:ascii="Times New Roman" w:cs="Times New Roman" w:eastAsia="Times New Roman" w:hAnsi="Times New Roman"/>
          <w:sz w:val="18"/>
          <w:szCs w:val="18"/>
          <w:color w:val="auto"/>
        </w:rPr>
        <w:t xml:space="preserve">The Company enters into foreign currency and interest rate swap contracts. The fair values of the Company’s derivative instruments are determined using discounted cash flow valuation models. The significant inputs used in these models are readily available in public markets, or can be derived from observable market transactions, and therefore have been classified as Level 2. Inputs used in these discounted cash flow valuation models for derivative instruments include the applicable exchange rates, forward rates or interest rates. Such models used for option contracts also use implied volatility. Refer to </w:t>
      </w:r>
      <w:r>
        <w:rPr>
          <w:rFonts w:ascii="Times New Roman" w:cs="Times New Roman" w:eastAsia="Times New Roman" w:hAnsi="Times New Roman"/>
          <w:sz w:val="18"/>
          <w:szCs w:val="18"/>
          <w:u w:val="single" w:color="auto"/>
          <w:color w:val="0000FF"/>
        </w:rPr>
        <w:t>Note 9</w:t>
      </w:r>
      <w:r>
        <w:rPr>
          <w:rFonts w:ascii="Times New Roman" w:cs="Times New Roman" w:eastAsia="Times New Roman" w:hAnsi="Times New Roman"/>
          <w:sz w:val="18"/>
          <w:szCs w:val="18"/>
          <w:color w:val="auto"/>
        </w:rPr>
        <w:t xml:space="preserve"> for additional information on the Company’s derivative instruments and hedging activities.</w:t>
      </w: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 as of March 31, 2026 and December 31, 2025 are summarized below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As of March 31, 2026</w:t>
            </w: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220"/>
        </w:trPr>
        <w:tc>
          <w:tcPr>
            <w:tcW w:w="4420" w:type="dxa"/>
            <w:vAlign w:val="bottom"/>
          </w:tcPr>
          <w:p>
            <w:pPr>
              <w:spacing w:after="0"/>
              <w:rPr>
                <w:sz w:val="19"/>
                <w:szCs w:val="19"/>
                <w:color w:val="auto"/>
              </w:rPr>
            </w:pP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20" w:type="dxa"/>
            <w:vAlign w:val="bottom"/>
          </w:tcPr>
          <w:p>
            <w:pPr>
              <w:spacing w:after="0"/>
              <w:rPr>
                <w:sz w:val="19"/>
                <w:szCs w:val="19"/>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80" w:type="dxa"/>
            <w:vAlign w:val="bottom"/>
          </w:tcPr>
          <w:p>
            <w:pPr>
              <w:spacing w:after="0"/>
              <w:rPr>
                <w:sz w:val="19"/>
                <w:szCs w:val="19"/>
                <w:color w:val="auto"/>
              </w:rPr>
            </w:pPr>
          </w:p>
        </w:tc>
        <w:tc>
          <w:tcPr>
            <w:tcW w:w="1280" w:type="dxa"/>
            <w:vAlign w:val="bottom"/>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0"/>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1220" w:type="dxa"/>
            <w:vAlign w:val="bottom"/>
            <w:tcBorders>
              <w:top w:val="single" w:sz="8" w:color="auto"/>
            </w:tcBorders>
            <w:shd w:val="clear" w:color="auto" w:fill="CCEEFF"/>
          </w:tcPr>
          <w:p>
            <w:pPr>
              <w:jc w:val="right"/>
              <w:ind w:right="103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2"/>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1220" w:type="dxa"/>
            <w:vAlign w:val="bottom"/>
          </w:tcPr>
          <w:p>
            <w:pPr>
              <w:spacing w:after="0"/>
              <w:rPr>
                <w:sz w:val="20"/>
                <w:szCs w:val="20"/>
                <w:color w:val="auto"/>
              </w:rPr>
            </w:pP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341"/>
        </w:trPr>
        <w:tc>
          <w:tcPr>
            <w:tcW w:w="442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As of December 31, 2025</w:t>
            </w: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220"/>
        </w:trPr>
        <w:tc>
          <w:tcPr>
            <w:tcW w:w="4420" w:type="dxa"/>
            <w:vAlign w:val="bottom"/>
          </w:tcPr>
          <w:p>
            <w:pPr>
              <w:spacing w:after="0"/>
              <w:rPr>
                <w:sz w:val="19"/>
                <w:szCs w:val="19"/>
                <w:color w:val="auto"/>
              </w:rPr>
            </w:pP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20" w:type="dxa"/>
            <w:vAlign w:val="bottom"/>
          </w:tcPr>
          <w:p>
            <w:pPr>
              <w:spacing w:after="0"/>
              <w:rPr>
                <w:sz w:val="19"/>
                <w:szCs w:val="19"/>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80" w:type="dxa"/>
            <w:vAlign w:val="bottom"/>
          </w:tcPr>
          <w:p>
            <w:pPr>
              <w:spacing w:after="0"/>
              <w:rPr>
                <w:sz w:val="19"/>
                <w:szCs w:val="19"/>
                <w:color w:val="auto"/>
              </w:rPr>
            </w:pPr>
          </w:p>
        </w:tc>
        <w:tc>
          <w:tcPr>
            <w:tcW w:w="1280" w:type="dxa"/>
            <w:vAlign w:val="bottom"/>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0"/>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1220" w:type="dxa"/>
            <w:vAlign w:val="bottom"/>
            <w:tcBorders>
              <w:top w:val="single" w:sz="8" w:color="auto"/>
            </w:tcBorders>
            <w:shd w:val="clear" w:color="auto" w:fill="CCEEFF"/>
          </w:tcPr>
          <w:p>
            <w:pPr>
              <w:jc w:val="right"/>
              <w:ind w:right="103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32"/>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1220" w:type="dxa"/>
            <w:vAlign w:val="bottom"/>
          </w:tcPr>
          <w:p>
            <w:pPr>
              <w:spacing w:after="0"/>
              <w:rPr>
                <w:sz w:val="20"/>
                <w:szCs w:val="20"/>
                <w:color w:val="auto"/>
              </w:rPr>
            </w:pP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r>
    </w:tbl>
    <w:p>
      <w:pPr>
        <w:spacing w:after="0" w:line="296" w:lineRule="exact"/>
        <w:rPr>
          <w:sz w:val="20"/>
          <w:szCs w:val="20"/>
          <w:color w:val="auto"/>
        </w:rPr>
      </w:pPr>
    </w:p>
    <w:p>
      <w:pPr>
        <w:ind w:right="80" w:firstLine="174"/>
        <w:spacing w:after="0" w:line="251" w:lineRule="auto"/>
        <w:rPr>
          <w:sz w:val="20"/>
          <w:szCs w:val="20"/>
          <w:color w:val="auto"/>
        </w:rPr>
      </w:pPr>
      <w:r>
        <w:rPr>
          <w:rFonts w:ascii="Times New Roman" w:cs="Times New Roman" w:eastAsia="Times New Roman" w:hAnsi="Times New Roman"/>
          <w:sz w:val="18"/>
          <w:szCs w:val="18"/>
          <w:color w:val="auto"/>
        </w:rPr>
        <w:t xml:space="preserve">The carrying amounts of long-term debt under the Company’s EIB Senior term loans due 2029 and 2030 and Senior term loans due between 2026 and 2028 approximate fair value based on the borrowing rates currently available to the Company for loans with similar terms and average maturities. At March 31, 2026, the estimated fair value of the Company's 0.800% Senior notes due 2028, based on listed market values, was approximately €556.8 million (or approximately $642.0 million), compared to the carrying value of €600.0 million (or approximately $691.8 million). At March 31, 2026, the estimated fair value of the Company's 5.450% senior notes due 2027, based on listed market values, was approximately $403.2 million, compared to the carrying value of $400.0 million. At March 31, 2026, the estimated fair value of the Company's 5.800% senior notes due 2034, based on listed market values, was approximately $717.5 million, compared to the carrying value of $700.0 million. Refer to </w:t>
      </w:r>
      <w:r>
        <w:rPr>
          <w:rFonts w:ascii="Times New Roman" w:cs="Times New Roman" w:eastAsia="Times New Roman" w:hAnsi="Times New Roman"/>
          <w:sz w:val="18"/>
          <w:szCs w:val="18"/>
          <w:u w:val="single" w:color="auto"/>
          <w:color w:val="0000FF"/>
        </w:rPr>
        <w:t>Note 7</w:t>
      </w:r>
      <w:r>
        <w:rPr>
          <w:rFonts w:ascii="Times New Roman" w:cs="Times New Roman" w:eastAsia="Times New Roman" w:hAnsi="Times New Roman"/>
          <w:sz w:val="18"/>
          <w:szCs w:val="18"/>
          <w:color w:val="auto"/>
        </w:rPr>
        <w:t xml:space="preserve"> for additional information on the Company’s long-term debt.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50" w:lineRule="exact"/>
        <w:rPr>
          <w:sz w:val="20"/>
          <w:szCs w:val="20"/>
          <w:color w:val="auto"/>
        </w:rPr>
      </w:pPr>
    </w:p>
    <w:p>
      <w:pPr>
        <w:ind w:right="60" w:firstLine="178"/>
        <w:spacing w:after="0" w:line="276" w:lineRule="auto"/>
        <w:rPr>
          <w:sz w:val="20"/>
          <w:szCs w:val="20"/>
          <w:color w:val="auto"/>
        </w:rPr>
      </w:pPr>
      <w:r>
        <w:rPr>
          <w:rFonts w:ascii="Times New Roman" w:cs="Times New Roman" w:eastAsia="Times New Roman" w:hAnsi="Times New Roman"/>
          <w:sz w:val="18"/>
          <w:szCs w:val="18"/>
          <w:color w:val="auto"/>
        </w:rPr>
        <w:t>Lease payment amounts for operating and finance leases with remaining terms greater than one year as of March 31, 2026 and December 31, 2025 were as follows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8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480" w:type="dxa"/>
            <w:vAlign w:val="bottom"/>
          </w:tcPr>
          <w:p>
            <w:pPr>
              <w:spacing w:after="0"/>
              <w:rPr>
                <w:sz w:val="20"/>
                <w:szCs w:val="20"/>
                <w:color w:val="auto"/>
              </w:rPr>
            </w:pPr>
          </w:p>
        </w:tc>
        <w:tc>
          <w:tcPr>
            <w:tcW w:w="2660" w:type="dxa"/>
            <w:vAlign w:val="bottom"/>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0"/>
        </w:trPr>
        <w:tc>
          <w:tcPr>
            <w:tcW w:w="4880" w:type="dxa"/>
            <w:vAlign w:val="bottom"/>
          </w:tcPr>
          <w:p>
            <w:pPr>
              <w:spacing w:after="0"/>
              <w:rPr>
                <w:sz w:val="19"/>
                <w:szCs w:val="19"/>
                <w:color w:val="auto"/>
              </w:rPr>
            </w:pPr>
          </w:p>
        </w:tc>
        <w:tc>
          <w:tcPr>
            <w:tcW w:w="160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Leases</w:t>
            </w:r>
            <w:r>
              <w:rPr>
                <w:rFonts w:ascii="Times New Roman" w:cs="Times New Roman" w:eastAsia="Times New Roman" w:hAnsi="Times New Roman"/>
                <w:sz w:val="9"/>
                <w:szCs w:val="9"/>
                <w:b w:val="1"/>
                <w:bCs w:val="1"/>
                <w:color w:val="auto"/>
              </w:rPr>
              <w:t>(1)</w:t>
            </w:r>
          </w:p>
        </w:tc>
        <w:tc>
          <w:tcPr>
            <w:tcW w:w="1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100" w:type="dxa"/>
            <w:vAlign w:val="bottom"/>
          </w:tcPr>
          <w:p>
            <w:pPr>
              <w:spacing w:after="0"/>
              <w:rPr>
                <w:sz w:val="19"/>
                <w:szCs w:val="19"/>
                <w:color w:val="auto"/>
              </w:rPr>
            </w:pPr>
          </w:p>
        </w:tc>
        <w:tc>
          <w:tcPr>
            <w:tcW w:w="162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Leases</w:t>
            </w:r>
            <w:r>
              <w:rPr>
                <w:rFonts w:ascii="Times New Roman" w:cs="Times New Roman" w:eastAsia="Times New Roman" w:hAnsi="Times New Roman"/>
                <w:sz w:val="9"/>
                <w:szCs w:val="9"/>
                <w:b w:val="1"/>
                <w:bCs w:val="1"/>
                <w:color w:val="auto"/>
              </w:rPr>
              <w:t>(1)</w:t>
            </w:r>
          </w:p>
        </w:tc>
        <w:tc>
          <w:tcPr>
            <w:tcW w:w="1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Finance Leases</w:t>
            </w:r>
          </w:p>
        </w:tc>
      </w:tr>
      <w:tr>
        <w:trPr>
          <w:trHeight w:val="220"/>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tcBorders>
              <w:top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center"/>
              <w:ind w:left="951"/>
              <w:spacing w:after="0"/>
              <w:rPr>
                <w:sz w:val="20"/>
                <w:szCs w:val="20"/>
                <w:color w:val="auto"/>
              </w:rPr>
            </w:pPr>
            <w:r>
              <w:rPr>
                <w:rFonts w:ascii="Times New Roman" w:cs="Times New Roman" w:eastAsia="Times New Roman" w:hAnsi="Times New Roman"/>
                <w:sz w:val="18"/>
                <w:szCs w:val="18"/>
                <w:color w:val="auto"/>
                <w:w w:val="97"/>
              </w:rPr>
              <w:t>0.4</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center"/>
              <w:ind w:left="931"/>
              <w:spacing w:after="0"/>
              <w:rPr>
                <w:sz w:val="20"/>
                <w:szCs w:val="20"/>
                <w:color w:val="auto"/>
              </w:rPr>
            </w:pPr>
            <w:r>
              <w:rPr>
                <w:rFonts w:ascii="Times New Roman" w:cs="Times New Roman" w:eastAsia="Times New Roman" w:hAnsi="Times New Roman"/>
                <w:sz w:val="18"/>
                <w:szCs w:val="18"/>
                <w:color w:val="auto"/>
              </w:rPr>
              <w:t>0.6</w:t>
            </w:r>
          </w:p>
        </w:tc>
      </w:tr>
      <w:tr>
        <w:trPr>
          <w:trHeight w:val="227"/>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center"/>
              <w:ind w:left="951"/>
              <w:spacing w:after="0"/>
              <w:rPr>
                <w:sz w:val="20"/>
                <w:szCs w:val="20"/>
                <w:color w:val="auto"/>
              </w:rPr>
            </w:pPr>
            <w:r>
              <w:rPr>
                <w:rFonts w:ascii="Times New Roman" w:cs="Times New Roman" w:eastAsia="Times New Roman" w:hAnsi="Times New Roman"/>
                <w:sz w:val="18"/>
                <w:szCs w:val="18"/>
                <w:color w:val="auto"/>
                <w:w w:val="97"/>
              </w:rPr>
              <w:t>0.4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center"/>
              <w:ind w:left="931"/>
              <w:spacing w:after="0"/>
              <w:rPr>
                <w:sz w:val="20"/>
                <w:szCs w:val="20"/>
                <w:color w:val="auto"/>
              </w:rPr>
            </w:pPr>
            <w:r>
              <w:rPr>
                <w:rFonts w:ascii="Times New Roman" w:cs="Times New Roman" w:eastAsia="Times New Roman" w:hAnsi="Times New Roman"/>
                <w:sz w:val="18"/>
                <w:szCs w:val="18"/>
                <w:color w:val="auto"/>
              </w:rPr>
              <w:t>0.4</w:t>
            </w:r>
          </w:p>
        </w:tc>
      </w:tr>
      <w:tr>
        <w:trPr>
          <w:trHeight w:val="227"/>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951"/>
              <w:spacing w:after="0"/>
              <w:rPr>
                <w:sz w:val="20"/>
                <w:szCs w:val="20"/>
                <w:color w:val="auto"/>
              </w:rPr>
            </w:pPr>
            <w:r>
              <w:rPr>
                <w:rFonts w:ascii="Times New Roman" w:cs="Times New Roman" w:eastAsia="Times New Roman" w:hAnsi="Times New Roman"/>
                <w:sz w:val="18"/>
                <w:szCs w:val="18"/>
                <w:color w:val="auto"/>
                <w:w w:val="97"/>
              </w:rPr>
              <w:t>0.3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931"/>
              <w:spacing w:after="0"/>
              <w:rPr>
                <w:sz w:val="20"/>
                <w:szCs w:val="20"/>
                <w:color w:val="auto"/>
              </w:rPr>
            </w:pPr>
            <w:r>
              <w:rPr>
                <w:rFonts w:ascii="Times New Roman" w:cs="Times New Roman" w:eastAsia="Times New Roman" w:hAnsi="Times New Roman"/>
                <w:sz w:val="18"/>
                <w:szCs w:val="18"/>
                <w:color w:val="auto"/>
              </w:rPr>
              <w:t>0.3</w:t>
            </w:r>
          </w:p>
        </w:tc>
      </w:tr>
      <w:tr>
        <w:trPr>
          <w:trHeight w:val="227"/>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center"/>
              <w:ind w:left="951"/>
              <w:spacing w:after="0"/>
              <w:rPr>
                <w:sz w:val="20"/>
                <w:szCs w:val="20"/>
                <w:color w:val="auto"/>
              </w:rPr>
            </w:pPr>
            <w:r>
              <w:rPr>
                <w:rFonts w:ascii="Times New Roman" w:cs="Times New Roman" w:eastAsia="Times New Roman" w:hAnsi="Times New Roman"/>
                <w:sz w:val="18"/>
                <w:szCs w:val="18"/>
                <w:color w:val="auto"/>
                <w:w w:val="97"/>
              </w:rPr>
              <w:t>0.3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center"/>
              <w:ind w:left="931"/>
              <w:spacing w:after="0"/>
              <w:rPr>
                <w:sz w:val="20"/>
                <w:szCs w:val="20"/>
                <w:color w:val="auto"/>
              </w:rPr>
            </w:pPr>
            <w:r>
              <w:rPr>
                <w:rFonts w:ascii="Times New Roman" w:cs="Times New Roman" w:eastAsia="Times New Roman" w:hAnsi="Times New Roman"/>
                <w:sz w:val="18"/>
                <w:szCs w:val="18"/>
                <w:color w:val="auto"/>
              </w:rPr>
              <w:t>0.3</w:t>
            </w:r>
          </w:p>
        </w:tc>
      </w:tr>
      <w:tr>
        <w:trPr>
          <w:trHeight w:val="227"/>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951"/>
              <w:spacing w:after="0"/>
              <w:rPr>
                <w:sz w:val="20"/>
                <w:szCs w:val="20"/>
                <w:color w:val="auto"/>
              </w:rPr>
            </w:pPr>
            <w:r>
              <w:rPr>
                <w:rFonts w:ascii="Times New Roman" w:cs="Times New Roman" w:eastAsia="Times New Roman" w:hAnsi="Times New Roman"/>
                <w:sz w:val="18"/>
                <w:szCs w:val="18"/>
                <w:color w:val="auto"/>
                <w:w w:val="97"/>
              </w:rPr>
              <w:t>0.3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931"/>
              <w:spacing w:after="0"/>
              <w:rPr>
                <w:sz w:val="20"/>
                <w:szCs w:val="20"/>
                <w:color w:val="auto"/>
              </w:rPr>
            </w:pPr>
            <w:r>
              <w:rPr>
                <w:rFonts w:ascii="Times New Roman" w:cs="Times New Roman" w:eastAsia="Times New Roman" w:hAnsi="Times New Roman"/>
                <w:sz w:val="18"/>
                <w:szCs w:val="18"/>
                <w:color w:val="auto"/>
              </w:rPr>
              <w:t>0.2</w:t>
            </w:r>
          </w:p>
        </w:tc>
      </w:tr>
      <w:tr>
        <w:trPr>
          <w:trHeight w:val="227"/>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left="951"/>
              <w:spacing w:after="0"/>
              <w:rPr>
                <w:sz w:val="20"/>
                <w:szCs w:val="20"/>
                <w:color w:val="auto"/>
              </w:rPr>
            </w:pPr>
            <w:r>
              <w:rPr>
                <w:rFonts w:ascii="Times New Roman" w:cs="Times New Roman" w:eastAsia="Times New Roman" w:hAnsi="Times New Roman"/>
                <w:sz w:val="18"/>
                <w:szCs w:val="18"/>
                <w:color w:val="auto"/>
                <w:w w:val="97"/>
              </w:rPr>
              <w:t>5.9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left="931"/>
              <w:spacing w:after="0"/>
              <w:rPr>
                <w:sz w:val="20"/>
                <w:szCs w:val="20"/>
                <w:color w:val="auto"/>
              </w:rPr>
            </w:pPr>
            <w:r>
              <w:rPr>
                <w:rFonts w:ascii="Times New Roman" w:cs="Times New Roman" w:eastAsia="Times New Roman" w:hAnsi="Times New Roman"/>
                <w:sz w:val="18"/>
                <w:szCs w:val="18"/>
                <w:color w:val="auto"/>
              </w:rPr>
              <w:t>6.0</w:t>
            </w:r>
          </w:p>
        </w:tc>
      </w:tr>
      <w:tr>
        <w:trPr>
          <w:trHeight w:val="22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951"/>
              <w:spacing w:after="0"/>
              <w:rPr>
                <w:sz w:val="20"/>
                <w:szCs w:val="20"/>
                <w:color w:val="auto"/>
              </w:rPr>
            </w:pPr>
            <w:r>
              <w:rPr>
                <w:rFonts w:ascii="Times New Roman" w:cs="Times New Roman" w:eastAsia="Times New Roman" w:hAnsi="Times New Roman"/>
                <w:sz w:val="18"/>
                <w:szCs w:val="18"/>
                <w:color w:val="auto"/>
                <w:w w:val="97"/>
              </w:rPr>
              <w:t>7.6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931"/>
              <w:spacing w:after="0"/>
              <w:rPr>
                <w:sz w:val="20"/>
                <w:szCs w:val="20"/>
                <w:color w:val="auto"/>
              </w:rPr>
            </w:pPr>
            <w:r>
              <w:rPr>
                <w:rFonts w:ascii="Times New Roman" w:cs="Times New Roman" w:eastAsia="Times New Roman" w:hAnsi="Times New Roman"/>
                <w:sz w:val="18"/>
                <w:szCs w:val="18"/>
                <w:color w:val="auto"/>
              </w:rPr>
              <w:t>7.8</w:t>
            </w:r>
          </w:p>
        </w:tc>
      </w:tr>
      <w:tr>
        <w:trPr>
          <w:trHeight w:val="227"/>
        </w:trPr>
        <w:tc>
          <w:tcPr>
            <w:tcW w:w="4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imputed interest</w:t>
            </w:r>
            <w:r>
              <w:rPr>
                <w:rFonts w:ascii="Times New Roman" w:cs="Times New Roman" w:eastAsia="Times New Roman" w:hAnsi="Times New Roman"/>
                <w:sz w:val="9"/>
                <w:szCs w:val="9"/>
                <w:color w:val="auto"/>
              </w:rPr>
              <w:t>(2)</w:t>
            </w: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left="911"/>
              <w:spacing w:after="0"/>
              <w:rPr>
                <w:sz w:val="20"/>
                <w:szCs w:val="20"/>
                <w:color w:val="auto"/>
              </w:rPr>
            </w:pPr>
            <w:r>
              <w:rPr>
                <w:rFonts w:ascii="Times New Roman" w:cs="Times New Roman" w:eastAsia="Times New Roman" w:hAnsi="Times New Roman"/>
                <w:sz w:val="18"/>
                <w:szCs w:val="18"/>
                <w:color w:val="auto"/>
                <w:w w:val="98"/>
              </w:rPr>
              <w:t>(1.9)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left="911"/>
              <w:spacing w:after="0"/>
              <w:rPr>
                <w:sz w:val="20"/>
                <w:szCs w:val="20"/>
                <w:color w:val="auto"/>
              </w:rPr>
            </w:pPr>
            <w:r>
              <w:rPr>
                <w:rFonts w:ascii="Times New Roman" w:cs="Times New Roman" w:eastAsia="Times New Roman" w:hAnsi="Times New Roman"/>
                <w:sz w:val="18"/>
                <w:szCs w:val="18"/>
                <w:color w:val="auto"/>
                <w:w w:val="98"/>
              </w:rPr>
              <w:t>(2.0)</w:t>
            </w:r>
          </w:p>
        </w:tc>
      </w:tr>
      <w:tr>
        <w:trPr>
          <w:trHeight w:val="245"/>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leased liabilities</w:t>
            </w:r>
          </w:p>
        </w:tc>
        <w:tc>
          <w:tcPr>
            <w:tcW w:w="540" w:type="dxa"/>
            <w:vAlign w:val="bottom"/>
            <w:tcBorders>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center"/>
              <w:ind w:left="951"/>
              <w:spacing w:after="0"/>
              <w:rPr>
                <w:sz w:val="20"/>
                <w:szCs w:val="20"/>
                <w:color w:val="auto"/>
              </w:rPr>
            </w:pPr>
            <w:r>
              <w:rPr>
                <w:rFonts w:ascii="Times New Roman" w:cs="Times New Roman" w:eastAsia="Times New Roman" w:hAnsi="Times New Roman"/>
                <w:sz w:val="18"/>
                <w:szCs w:val="18"/>
                <w:color w:val="auto"/>
                <w:w w:val="97"/>
              </w:rPr>
              <w:t>5.7</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center"/>
              <w:ind w:left="931"/>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39" w:lineRule="exact"/>
        <w:rPr>
          <w:sz w:val="20"/>
          <w:szCs w:val="20"/>
          <w:color w:val="auto"/>
        </w:rPr>
      </w:pPr>
    </w:p>
    <w:p>
      <w:pPr>
        <w:ind w:left="320" w:right="40" w:hanging="233"/>
        <w:spacing w:after="0" w:line="233" w:lineRule="auto"/>
        <w:tabs>
          <w:tab w:leader="none" w:pos="330" w:val="left"/>
        </w:tabs>
        <w:numPr>
          <w:ilvl w:val="0"/>
          <w:numId w:val="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Operating lease payments include options to extend or terminate at the Company's sole discretion, which are included in the determination of lease term when they are reasonably certain to be exercised.</w:t>
      </w:r>
    </w:p>
    <w:p>
      <w:pPr>
        <w:spacing w:after="0" w:line="15" w:lineRule="exact"/>
        <w:rPr>
          <w:rFonts w:ascii="Times New Roman" w:cs="Times New Roman" w:eastAsia="Times New Roman" w:hAnsi="Times New Roman"/>
          <w:sz w:val="18"/>
          <w:szCs w:val="18"/>
          <w:color w:val="auto"/>
          <w:vertAlign w:val="superscript"/>
        </w:rPr>
      </w:pPr>
    </w:p>
    <w:p>
      <w:pPr>
        <w:ind w:left="340" w:hanging="253"/>
        <w:spacing w:after="0"/>
        <w:tabs>
          <w:tab w:leader="none" w:pos="340"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Calculated for each lease using either the implicit interest rate or the incremental borrowing rate, when the implicit interest rate is not readily available.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Guarantees</w:t>
      </w:r>
    </w:p>
    <w:p>
      <w:pPr>
        <w:spacing w:after="0" w:line="248" w:lineRule="exact"/>
        <w:rPr>
          <w:sz w:val="20"/>
          <w:szCs w:val="20"/>
          <w:color w:val="auto"/>
        </w:rPr>
      </w:pPr>
    </w:p>
    <w:p>
      <w:pPr>
        <w:ind w:right="60" w:firstLine="168"/>
        <w:spacing w:after="0" w:line="253" w:lineRule="auto"/>
        <w:rPr>
          <w:sz w:val="20"/>
          <w:szCs w:val="20"/>
          <w:color w:val="auto"/>
        </w:rPr>
      </w:pPr>
      <w:r>
        <w:rPr>
          <w:rFonts w:ascii="Times New Roman" w:cs="Times New Roman" w:eastAsia="Times New Roman" w:hAnsi="Times New Roman"/>
          <w:sz w:val="18"/>
          <w:szCs w:val="18"/>
          <w:color w:val="auto"/>
        </w:rPr>
        <w:t>At March 31, 2026, the Company had outstanding guarantees issued to its Argentine finance joint venture, AGCO Capital Argentina S.A. (“AGCO Capital”), of approximately $83.3 million. Such guarantees generally obligate the Company to repay outstanding finance obligations owed to AGCO Capital if end users default on such loans to the extent that, due to non-credit risk, the end users are not able, or not required, to pay their loans, or are required to pay in a different currency than the one agreed in their loan. The Company also has obligations to guarantee indebtedness owed to certain of its finance joint ventures if dealers or end users default on loans. Losses under such guarantees historically have been insignificant. The Company believes the credit risk associated with these guarantees is not material.</w:t>
      </w:r>
    </w:p>
    <w:p>
      <w:pPr>
        <w:spacing w:after="0" w:line="210" w:lineRule="exact"/>
        <w:rPr>
          <w:sz w:val="20"/>
          <w:szCs w:val="20"/>
          <w:color w:val="auto"/>
        </w:rPr>
      </w:pPr>
    </w:p>
    <w:p>
      <w:pPr>
        <w:ind w:right="20" w:firstLine="178"/>
        <w:spacing w:after="0" w:line="261" w:lineRule="auto"/>
        <w:rPr>
          <w:sz w:val="20"/>
          <w:szCs w:val="20"/>
          <w:color w:val="auto"/>
        </w:rPr>
      </w:pPr>
      <w:r>
        <w:rPr>
          <w:rFonts w:ascii="Times New Roman" w:cs="Times New Roman" w:eastAsia="Times New Roman" w:hAnsi="Times New Roman"/>
          <w:sz w:val="18"/>
          <w:szCs w:val="18"/>
          <w:color w:val="auto"/>
        </w:rPr>
        <w:t>In addition, at March 31, 2026, the Company had accrued approximately $11.9 million of outstanding guarantees of residual values that may be owed to its finance joint ventures in the United States and Canada due upon expiration of certain eligible operating leases between the finance joint ventures and end users. The maximum potential amount of future payments under these guarantees is approximately $227.4 million.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48" w:lineRule="exact"/>
        <w:rPr>
          <w:sz w:val="20"/>
          <w:szCs w:val="20"/>
          <w:color w:val="auto"/>
        </w:rPr>
      </w:pPr>
    </w:p>
    <w:p>
      <w:pPr>
        <w:jc w:val="both"/>
        <w:ind w:right="20" w:firstLine="174"/>
        <w:spacing w:after="0" w:line="284" w:lineRule="auto"/>
        <w:rPr>
          <w:sz w:val="20"/>
          <w:szCs w:val="20"/>
          <w:color w:val="auto"/>
        </w:rPr>
      </w:pPr>
      <w:r>
        <w:rPr>
          <w:rFonts w:ascii="Times New Roman" w:cs="Times New Roman" w:eastAsia="Times New Roman" w:hAnsi="Times New Roman"/>
          <w:sz w:val="17"/>
          <w:szCs w:val="17"/>
          <w:color w:val="auto"/>
        </w:rPr>
        <w:t xml:space="preserve">The Company sells a majority of its wholesale receivables in North America, Europe and Brazil to its U.S., Canadian, European and Brazilian finance joint ventures. The Company also sells certain accounts receivable under factoring arrangements to financial institutions around the world. The Company accounts for the sale of such receivables as off-balance sheet transactions. Refer to </w:t>
      </w:r>
      <w:r>
        <w:rPr>
          <w:rFonts w:ascii="Times New Roman" w:cs="Times New Roman" w:eastAsia="Times New Roman" w:hAnsi="Times New Roman"/>
          <w:sz w:val="17"/>
          <w:szCs w:val="17"/>
          <w:u w:val="single" w:color="auto"/>
          <w:color w:val="0000FF"/>
        </w:rPr>
        <w:t>Note 2</w:t>
      </w:r>
      <w:r>
        <w:rPr>
          <w:rFonts w:ascii="Times New Roman" w:cs="Times New Roman" w:eastAsia="Times New Roman" w:hAnsi="Times New Roman"/>
          <w:sz w:val="17"/>
          <w:szCs w:val="17"/>
          <w:color w:val="auto"/>
        </w:rPr>
        <w:t xml:space="preserve"> for discussion of the Company’s accounts receivable sales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48" w:lineRule="exact"/>
        <w:rPr>
          <w:sz w:val="20"/>
          <w:szCs w:val="20"/>
          <w:color w:val="auto"/>
        </w:rPr>
      </w:pPr>
    </w:p>
    <w:p>
      <w:pPr>
        <w:ind w:right="340" w:firstLine="174"/>
        <w:spacing w:after="0" w:line="261" w:lineRule="auto"/>
        <w:rPr>
          <w:sz w:val="20"/>
          <w:szCs w:val="20"/>
          <w:color w:val="auto"/>
        </w:rPr>
      </w:pPr>
      <w:r>
        <w:rPr>
          <w:rFonts w:ascii="Times New Roman" w:cs="Times New Roman" w:eastAsia="Times New Roman" w:hAnsi="Times New Roman"/>
          <w:sz w:val="18"/>
          <w:szCs w:val="18"/>
          <w:color w:val="auto"/>
        </w:rPr>
        <w:t>The Company is a party to various other legal claims and actions incidental to its business. The Company believes that none of these claims or actions, either individually or in the aggregate, are material to its business or financial statements as a whole, including its results of operations and financial condition.</w:t>
      </w:r>
    </w:p>
    <w:p>
      <w:pPr>
        <w:spacing w:after="0" w:line="20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REVENUE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250" w:lineRule="exact"/>
        <w:rPr>
          <w:sz w:val="20"/>
          <w:szCs w:val="20"/>
          <w:color w:val="auto"/>
        </w:rPr>
      </w:pPr>
    </w:p>
    <w:p>
      <w:pPr>
        <w:ind w:right="20" w:firstLine="178"/>
        <w:spacing w:after="0" w:line="257" w:lineRule="auto"/>
        <w:rPr>
          <w:sz w:val="20"/>
          <w:szCs w:val="20"/>
          <w:color w:val="auto"/>
        </w:rPr>
      </w:pPr>
      <w:r>
        <w:rPr>
          <w:rFonts w:ascii="Times New Roman" w:cs="Times New Roman" w:eastAsia="Times New Roman" w:hAnsi="Times New Roman"/>
          <w:sz w:val="18"/>
          <w:szCs w:val="18"/>
          <w:color w:val="auto"/>
        </w:rPr>
        <w:t>Contract liabilities primarily relate to the following: (1) unrecognized revenues where payment of consideration precedes the Company’s performance with respect to extended warranty and maintenance contracts and where the performance obligation is satisfied over time and (2) unrecognized revenues where payment of consideration precedes the Company’s performance with respect to precision agriculture technology services and where the performance obligation is satisfied over time.</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the balance of contract liabilities as of March 31, 2026 and December 31, 2025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0" w:type="dxa"/>
            <w:vAlign w:val="bottom"/>
          </w:tcPr>
          <w:p>
            <w:pPr>
              <w:spacing w:after="0"/>
              <w:rPr>
                <w:sz w:val="20"/>
                <w:szCs w:val="20"/>
                <w:color w:val="auto"/>
              </w:rPr>
            </w:pPr>
          </w:p>
        </w:tc>
        <w:tc>
          <w:tcPr>
            <w:tcW w:w="178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0"/>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w:t>
            </w:r>
          </w:p>
        </w:tc>
      </w:tr>
    </w:tbl>
    <w:p>
      <w:pPr>
        <w:spacing w:after="0" w:line="315" w:lineRule="exact"/>
        <w:rPr>
          <w:sz w:val="20"/>
          <w:szCs w:val="20"/>
          <w:color w:val="auto"/>
        </w:rPr>
      </w:pPr>
    </w:p>
    <w:p>
      <w:pPr>
        <w:ind w:right="140" w:firstLine="174"/>
        <w:spacing w:after="0" w:line="257" w:lineRule="auto"/>
        <w:rPr>
          <w:sz w:val="20"/>
          <w:szCs w:val="20"/>
          <w:color w:val="auto"/>
        </w:rPr>
      </w:pPr>
      <w:r>
        <w:rPr>
          <w:rFonts w:ascii="Times New Roman" w:cs="Times New Roman" w:eastAsia="Times New Roman" w:hAnsi="Times New Roman"/>
          <w:sz w:val="18"/>
          <w:szCs w:val="18"/>
          <w:color w:val="auto"/>
        </w:rPr>
        <w:t>The contract liabilities are classified as either “Accrued expenses” or “Other current liabilities” and “Other noncurrent liabilities” in the Company’s Condensed Consolidated Balance Sheets. During the three months ended March 31, 2026, the Company recognized approximately $47.2 million of revenue that was recorded as a contract liability at the beginning of 2026. During the three months ended March 31, 2025, the Company recognized approximately $35.5 million of revenue that was recorded as a contract liability at the beginning of 2025.</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50" w:lineRule="exact"/>
        <w:rPr>
          <w:sz w:val="20"/>
          <w:szCs w:val="20"/>
          <w:color w:val="auto"/>
        </w:rPr>
      </w:pPr>
    </w:p>
    <w:p>
      <w:pPr>
        <w:ind w:right="560" w:firstLine="174"/>
        <w:spacing w:after="0" w:line="257" w:lineRule="auto"/>
        <w:rPr>
          <w:sz w:val="20"/>
          <w:szCs w:val="20"/>
          <w:color w:val="auto"/>
        </w:rPr>
      </w:pPr>
      <w:r>
        <w:rPr>
          <w:rFonts w:ascii="Times New Roman" w:cs="Times New Roman" w:eastAsia="Times New Roman" w:hAnsi="Times New Roman"/>
          <w:sz w:val="18"/>
          <w:szCs w:val="18"/>
          <w:color w:val="auto"/>
        </w:rPr>
        <w:t>The estimated revenues expected to be recognized in the future related to performance obligations that are unsatisfied (or partially unsatisfied) as of March 31, 2026 are $122.4 million for the remainder of 2026, $126.6 million in 2027, $73.9 million in 2028, $35.5 million in 2029 and $13.6 million thereafter, and relate primarily to extended warranty contracts. The Company applied the practical expedient in ASU 2014-09 and has not disclosed information about remaining performance obligations that have original expected durations of 12 months or 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w:t>
      </w:r>
      <w:r>
        <w:rPr>
          <w:rFonts w:ascii="Times New Roman" w:cs="Times New Roman" w:eastAsia="Times New Roman" w:hAnsi="Times New Roman"/>
          <w:sz w:val="18"/>
          <w:szCs w:val="18"/>
          <w:color w:val="auto"/>
        </w:rPr>
        <w:t>:</w:t>
      </w:r>
    </w:p>
    <w:p>
      <w:pPr>
        <w:spacing w:after="0" w:line="343" w:lineRule="exact"/>
        <w:rPr>
          <w:sz w:val="20"/>
          <w:szCs w:val="20"/>
          <w:color w:val="auto"/>
        </w:rPr>
      </w:pPr>
    </w:p>
    <w:p>
      <w:pPr>
        <w:ind w:firstLine="178"/>
        <w:spacing w:after="0" w:line="276" w:lineRule="auto"/>
        <w:rPr>
          <w:sz w:val="20"/>
          <w:szCs w:val="20"/>
          <w:color w:val="auto"/>
        </w:rPr>
      </w:pPr>
      <w:r>
        <w:rPr>
          <w:rFonts w:ascii="Times New Roman" w:cs="Times New Roman" w:eastAsia="Times New Roman" w:hAnsi="Times New Roman"/>
          <w:sz w:val="18"/>
          <w:szCs w:val="18"/>
          <w:color w:val="auto"/>
        </w:rPr>
        <w:t>Net sales for the three months ended March 31, 2026 disaggregated by primary geographical markets and major products consisted of the following (in millions):</w:t>
      </w:r>
    </w:p>
    <w:p>
      <w:pPr>
        <w:spacing w:after="0" w:line="208"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4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North</w:t>
            </w:r>
          </w:p>
        </w:tc>
        <w:tc>
          <w:tcPr>
            <w:tcW w:w="16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Latin</w:t>
            </w: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Europe/Middle</w:t>
            </w:r>
          </w:p>
        </w:tc>
        <w:tc>
          <w:tcPr>
            <w:tcW w:w="1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Asia/Pacific/Africa</w:t>
            </w:r>
          </w:p>
        </w:tc>
        <w:tc>
          <w:tcPr>
            <w:tcW w:w="140" w:type="dxa"/>
            <w:vAlign w:val="bottom"/>
          </w:tcPr>
          <w:p>
            <w:pPr>
              <w:spacing w:after="0"/>
              <w:rPr>
                <w:sz w:val="17"/>
                <w:szCs w:val="17"/>
                <w:color w:val="auto"/>
              </w:rPr>
            </w:pPr>
          </w:p>
        </w:tc>
        <w:tc>
          <w:tcPr>
            <w:tcW w:w="1240" w:type="dxa"/>
            <w:vAlign w:val="bottom"/>
            <w:vMerge w:val="restart"/>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34"/>
        </w:trPr>
        <w:tc>
          <w:tcPr>
            <w:tcW w:w="4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America</w:t>
            </w:r>
          </w:p>
        </w:tc>
        <w:tc>
          <w:tcPr>
            <w:tcW w:w="160" w:type="dxa"/>
            <w:vAlign w:val="bottom"/>
          </w:tcPr>
          <w:p>
            <w:pPr>
              <w:spacing w:after="0"/>
              <w:rPr>
                <w:sz w:val="20"/>
                <w:szCs w:val="20"/>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America</w:t>
            </w:r>
          </w:p>
        </w:tc>
        <w:tc>
          <w:tcPr>
            <w:tcW w:w="280" w:type="dxa"/>
            <w:vAlign w:val="bottom"/>
          </w:tcPr>
          <w:p>
            <w:pPr>
              <w:spacing w:after="0"/>
              <w:rPr>
                <w:sz w:val="20"/>
                <w:szCs w:val="20"/>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East</w:t>
            </w:r>
          </w:p>
        </w:tc>
        <w:tc>
          <w:tcPr>
            <w:tcW w:w="156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Primary geographical markets:</w:t>
            </w: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0" w:type="dxa"/>
            <w:vAlign w:val="bottom"/>
          </w:tcPr>
          <w:p>
            <w:pPr>
              <w:spacing w:after="0"/>
              <w:rPr>
                <w:sz w:val="1"/>
                <w:szCs w:val="1"/>
                <w:color w:val="auto"/>
              </w:rPr>
            </w:pPr>
          </w:p>
        </w:tc>
      </w:tr>
      <w:tr>
        <w:trPr>
          <w:trHeight w:val="227"/>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27"/>
        </w:trPr>
        <w:tc>
          <w:tcPr>
            <w:tcW w:w="4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Brazil</w:t>
            </w: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0" w:type="dxa"/>
            <w:vAlign w:val="bottom"/>
          </w:tcPr>
          <w:p>
            <w:pPr>
              <w:spacing w:after="0"/>
              <w:rPr>
                <w:sz w:val="1"/>
                <w:szCs w:val="1"/>
                <w:color w:val="auto"/>
              </w:rPr>
            </w:pPr>
          </w:p>
        </w:tc>
      </w:tr>
      <w:tr>
        <w:trPr>
          <w:trHeight w:val="227"/>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South America</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27"/>
        </w:trPr>
        <w:tc>
          <w:tcPr>
            <w:tcW w:w="4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Germany</w:t>
            </w: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486.3</w:t>
            </w:r>
          </w:p>
        </w:tc>
        <w:tc>
          <w:tcPr>
            <w:tcW w:w="0" w:type="dxa"/>
            <w:vAlign w:val="bottom"/>
          </w:tcPr>
          <w:p>
            <w:pPr>
              <w:spacing w:after="0"/>
              <w:rPr>
                <w:sz w:val="1"/>
                <w:szCs w:val="1"/>
                <w:color w:val="auto"/>
              </w:rPr>
            </w:pPr>
          </w:p>
        </w:tc>
      </w:tr>
      <w:tr>
        <w:trPr>
          <w:trHeight w:val="227"/>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France</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0" w:type="dxa"/>
            <w:vAlign w:val="bottom"/>
          </w:tcPr>
          <w:p>
            <w:pPr>
              <w:spacing w:after="0"/>
              <w:rPr>
                <w:sz w:val="1"/>
                <w:szCs w:val="1"/>
                <w:color w:val="auto"/>
              </w:rPr>
            </w:pPr>
          </w:p>
        </w:tc>
      </w:tr>
      <w:tr>
        <w:trPr>
          <w:trHeight w:val="227"/>
        </w:trPr>
        <w:tc>
          <w:tcPr>
            <w:tcW w:w="4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Kingdom and Ireland</w:t>
            </w: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0" w:type="dxa"/>
            <w:vAlign w:val="bottom"/>
          </w:tcPr>
          <w:p>
            <w:pPr>
              <w:spacing w:after="0"/>
              <w:rPr>
                <w:sz w:val="1"/>
                <w:szCs w:val="1"/>
                <w:color w:val="auto"/>
              </w:rPr>
            </w:pPr>
          </w:p>
        </w:tc>
      </w:tr>
      <w:tr>
        <w:trPr>
          <w:trHeight w:val="227"/>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Finland and Scandinavia</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0" w:type="dxa"/>
            <w:vAlign w:val="bottom"/>
          </w:tcPr>
          <w:p>
            <w:pPr>
              <w:spacing w:after="0"/>
              <w:rPr>
                <w:sz w:val="1"/>
                <w:szCs w:val="1"/>
                <w:color w:val="auto"/>
              </w:rPr>
            </w:pPr>
          </w:p>
        </w:tc>
      </w:tr>
      <w:tr>
        <w:trPr>
          <w:trHeight w:val="227"/>
        </w:trPr>
        <w:tc>
          <w:tcPr>
            <w:tcW w:w="4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Italy</w:t>
            </w: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27"/>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Europe</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w:t>
            </w:r>
          </w:p>
        </w:tc>
        <w:tc>
          <w:tcPr>
            <w:tcW w:w="0" w:type="dxa"/>
            <w:vAlign w:val="bottom"/>
          </w:tcPr>
          <w:p>
            <w:pPr>
              <w:spacing w:after="0"/>
              <w:rPr>
                <w:sz w:val="1"/>
                <w:szCs w:val="1"/>
                <w:color w:val="auto"/>
              </w:rPr>
            </w:pPr>
          </w:p>
        </w:tc>
      </w:tr>
      <w:tr>
        <w:trPr>
          <w:trHeight w:val="227"/>
        </w:trPr>
        <w:tc>
          <w:tcPr>
            <w:tcW w:w="4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Middle East and Algeria</w:t>
            </w: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27"/>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Africa</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27"/>
        </w:trPr>
        <w:tc>
          <w:tcPr>
            <w:tcW w:w="4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w:t>
            </w: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27"/>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Australia and New Zealand</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0" w:type="dxa"/>
            <w:vAlign w:val="bottom"/>
          </w:tcPr>
          <w:p>
            <w:pPr>
              <w:spacing w:after="0"/>
              <w:rPr>
                <w:sz w:val="1"/>
                <w:szCs w:val="1"/>
                <w:color w:val="auto"/>
              </w:rPr>
            </w:pPr>
          </w:p>
        </w:tc>
      </w:tr>
      <w:tr>
        <w:trPr>
          <w:trHeight w:val="227"/>
        </w:trPr>
        <w:tc>
          <w:tcPr>
            <w:tcW w:w="4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Mexico, Central America and Caribbean</w:t>
            </w: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45"/>
        </w:trPr>
        <w:tc>
          <w:tcPr>
            <w:tcW w:w="4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2,342.9</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Major products: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Tractors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1,163.6</w:t>
            </w:r>
          </w:p>
        </w:tc>
        <w:tc>
          <w:tcPr>
            <w:tcW w:w="100" w:type="dxa"/>
            <w:vAlign w:val="bottom"/>
          </w:tcPr>
          <w:p>
            <w:pPr>
              <w:spacing w:after="0"/>
              <w:rPr>
                <w:sz w:val="19"/>
                <w:szCs w:val="19"/>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1,530.5</w:t>
            </w:r>
          </w:p>
        </w:tc>
        <w:tc>
          <w:tcPr>
            <w:tcW w:w="0" w:type="dxa"/>
            <w:vAlign w:val="bottom"/>
          </w:tcPr>
          <w:p>
            <w:pPr>
              <w:spacing w:after="0"/>
              <w:rPr>
                <w:sz w:val="1"/>
                <w:szCs w:val="1"/>
                <w:color w:val="auto"/>
              </w:rPr>
            </w:pPr>
          </w:p>
        </w:tc>
      </w:tr>
      <w:tr>
        <w:trPr>
          <w:trHeight w:val="227"/>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Replacement parts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447.3</w:t>
            </w:r>
          </w:p>
        </w:tc>
        <w:tc>
          <w:tcPr>
            <w:tcW w:w="0" w:type="dxa"/>
            <w:vAlign w:val="bottom"/>
          </w:tcPr>
          <w:p>
            <w:pPr>
              <w:spacing w:after="0"/>
              <w:rPr>
                <w:sz w:val="1"/>
                <w:szCs w:val="1"/>
                <w:color w:val="auto"/>
              </w:rPr>
            </w:pPr>
          </w:p>
        </w:tc>
      </w:tr>
      <w:tr>
        <w:trPr>
          <w:trHeight w:val="227"/>
        </w:trPr>
        <w:tc>
          <w:tcPr>
            <w:tcW w:w="4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Grain storage and protein production systems</w:t>
            </w: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Combines, application equipment and other machinery</w:t>
            </w: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0" w:type="dxa"/>
            <w:vAlign w:val="bottom"/>
          </w:tcPr>
          <w:p>
            <w:pPr>
              <w:spacing w:after="0"/>
              <w:rPr>
                <w:sz w:val="1"/>
                <w:szCs w:val="1"/>
                <w:color w:val="auto"/>
              </w:rPr>
            </w:pPr>
          </w:p>
        </w:tc>
      </w:tr>
      <w:tr>
        <w:trPr>
          <w:trHeight w:val="220"/>
        </w:trPr>
        <w:tc>
          <w:tcPr>
            <w:tcW w:w="4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1,600.8</w:t>
            </w:r>
          </w:p>
        </w:tc>
        <w:tc>
          <w:tcPr>
            <w:tcW w:w="100" w:type="dxa"/>
            <w:vAlign w:val="bottom"/>
          </w:tcPr>
          <w:p>
            <w:pPr>
              <w:spacing w:after="0"/>
              <w:rPr>
                <w:sz w:val="19"/>
                <w:szCs w:val="19"/>
                <w:color w:val="auto"/>
              </w:rPr>
            </w:pP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2,342.9</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940"/>
          </w:cols>
          <w:pgMar w:left="320" w:top="121" w:right="6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0" w:firstLine="178"/>
        <w:spacing w:after="0" w:line="276" w:lineRule="auto"/>
        <w:rPr>
          <w:sz w:val="20"/>
          <w:szCs w:val="20"/>
          <w:color w:val="auto"/>
        </w:rPr>
      </w:pPr>
      <w:r>
        <w:rPr>
          <w:rFonts w:ascii="Times New Roman" w:cs="Times New Roman" w:eastAsia="Times New Roman" w:hAnsi="Times New Roman"/>
          <w:sz w:val="18"/>
          <w:szCs w:val="18"/>
          <w:color w:val="auto"/>
        </w:rPr>
        <w:t>Net sales for the three months ended March 31, 2025 disaggregated by primary geographical markets and major products consisted of the following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5"/>
              </w:rPr>
              <w:t>North</w:t>
            </w:r>
          </w:p>
        </w:tc>
        <w:tc>
          <w:tcPr>
            <w:tcW w:w="12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Latin</w:t>
            </w:r>
          </w:p>
        </w:tc>
        <w:tc>
          <w:tcPr>
            <w:tcW w:w="14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Europe/Middle</w:t>
            </w:r>
          </w:p>
        </w:tc>
        <w:tc>
          <w:tcPr>
            <w:tcW w:w="1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Asia/Pacific/Africa</w:t>
            </w:r>
          </w:p>
        </w:tc>
        <w:tc>
          <w:tcPr>
            <w:tcW w:w="160" w:type="dxa"/>
            <w:vAlign w:val="bottom"/>
          </w:tcPr>
          <w:p>
            <w:pPr>
              <w:spacing w:after="0"/>
              <w:rPr>
                <w:sz w:val="17"/>
                <w:szCs w:val="17"/>
                <w:color w:val="auto"/>
              </w:rPr>
            </w:pPr>
          </w:p>
        </w:tc>
        <w:tc>
          <w:tcPr>
            <w:tcW w:w="1280" w:type="dxa"/>
            <w:vAlign w:val="bottom"/>
            <w:vMerge w:val="restart"/>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0"/>
        </w:trPr>
        <w:tc>
          <w:tcPr>
            <w:tcW w:w="4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America</w:t>
            </w:r>
          </w:p>
        </w:tc>
        <w:tc>
          <w:tcPr>
            <w:tcW w:w="120" w:type="dxa"/>
            <w:vAlign w:val="bottom"/>
          </w:tcPr>
          <w:p>
            <w:pPr>
              <w:spacing w:after="0"/>
              <w:rPr>
                <w:sz w:val="20"/>
                <w:szCs w:val="20"/>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America</w:t>
            </w:r>
            <w:r>
              <w:rPr>
                <w:rFonts w:ascii="Times New Roman" w:cs="Times New Roman" w:eastAsia="Times New Roman" w:hAnsi="Times New Roman"/>
                <w:sz w:val="9"/>
                <w:szCs w:val="9"/>
                <w:b w:val="1"/>
                <w:bCs w:val="1"/>
                <w:color w:val="auto"/>
                <w:w w:val="99"/>
              </w:rPr>
              <w:t>(1)</w:t>
            </w:r>
          </w:p>
        </w:tc>
        <w:tc>
          <w:tcPr>
            <w:tcW w:w="300" w:type="dxa"/>
            <w:vAlign w:val="bottom"/>
          </w:tcPr>
          <w:p>
            <w:pPr>
              <w:spacing w:after="0"/>
              <w:rPr>
                <w:sz w:val="20"/>
                <w:szCs w:val="20"/>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East</w:t>
            </w:r>
          </w:p>
        </w:tc>
        <w:tc>
          <w:tcPr>
            <w:tcW w:w="156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Primary geographical markets:</w:t>
            </w: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w:t>
            </w:r>
          </w:p>
        </w:tc>
        <w:tc>
          <w:tcPr>
            <w:tcW w:w="0" w:type="dxa"/>
            <w:vAlign w:val="bottom"/>
          </w:tcPr>
          <w:p>
            <w:pPr>
              <w:spacing w:after="0"/>
              <w:rPr>
                <w:sz w:val="1"/>
                <w:szCs w:val="1"/>
                <w:color w:val="auto"/>
              </w:rPr>
            </w:pPr>
          </w:p>
        </w:tc>
      </w:tr>
      <w:tr>
        <w:trPr>
          <w:trHeight w:val="227"/>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0" w:type="dxa"/>
            <w:vAlign w:val="bottom"/>
          </w:tcPr>
          <w:p>
            <w:pPr>
              <w:spacing w:after="0"/>
              <w:rPr>
                <w:sz w:val="1"/>
                <w:szCs w:val="1"/>
                <w:color w:val="auto"/>
              </w:rPr>
            </w:pPr>
          </w:p>
        </w:tc>
      </w:tr>
      <w:tr>
        <w:trPr>
          <w:trHeight w:val="227"/>
        </w:trPr>
        <w:tc>
          <w:tcPr>
            <w:tcW w:w="4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Brazil</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0" w:type="dxa"/>
            <w:vAlign w:val="bottom"/>
          </w:tcPr>
          <w:p>
            <w:pPr>
              <w:spacing w:after="0"/>
              <w:rPr>
                <w:sz w:val="1"/>
                <w:szCs w:val="1"/>
                <w:color w:val="auto"/>
              </w:rPr>
            </w:pPr>
          </w:p>
        </w:tc>
      </w:tr>
      <w:tr>
        <w:trPr>
          <w:trHeight w:val="227"/>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South America</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27"/>
        </w:trPr>
        <w:tc>
          <w:tcPr>
            <w:tcW w:w="4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Germany</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0" w:type="dxa"/>
            <w:vAlign w:val="bottom"/>
          </w:tcPr>
          <w:p>
            <w:pPr>
              <w:spacing w:after="0"/>
              <w:rPr>
                <w:sz w:val="1"/>
                <w:szCs w:val="1"/>
                <w:color w:val="auto"/>
              </w:rPr>
            </w:pPr>
          </w:p>
        </w:tc>
      </w:tr>
      <w:tr>
        <w:trPr>
          <w:trHeight w:val="227"/>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France</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0" w:type="dxa"/>
            <w:vAlign w:val="bottom"/>
          </w:tcPr>
          <w:p>
            <w:pPr>
              <w:spacing w:after="0"/>
              <w:rPr>
                <w:sz w:val="1"/>
                <w:szCs w:val="1"/>
                <w:color w:val="auto"/>
              </w:rPr>
            </w:pPr>
          </w:p>
        </w:tc>
      </w:tr>
      <w:tr>
        <w:trPr>
          <w:trHeight w:val="227"/>
        </w:trPr>
        <w:tc>
          <w:tcPr>
            <w:tcW w:w="4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Kingdom and Ireland</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0" w:type="dxa"/>
            <w:vAlign w:val="bottom"/>
          </w:tcPr>
          <w:p>
            <w:pPr>
              <w:spacing w:after="0"/>
              <w:rPr>
                <w:sz w:val="1"/>
                <w:szCs w:val="1"/>
                <w:color w:val="auto"/>
              </w:rPr>
            </w:pPr>
          </w:p>
        </w:tc>
      </w:tr>
      <w:tr>
        <w:trPr>
          <w:trHeight w:val="227"/>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Finland and Scandinavia</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0" w:type="dxa"/>
            <w:vAlign w:val="bottom"/>
          </w:tcPr>
          <w:p>
            <w:pPr>
              <w:spacing w:after="0"/>
              <w:rPr>
                <w:sz w:val="1"/>
                <w:szCs w:val="1"/>
                <w:color w:val="auto"/>
              </w:rPr>
            </w:pPr>
          </w:p>
        </w:tc>
      </w:tr>
      <w:tr>
        <w:trPr>
          <w:trHeight w:val="227"/>
        </w:trPr>
        <w:tc>
          <w:tcPr>
            <w:tcW w:w="4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Italy</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27"/>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Europe</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0" w:type="dxa"/>
            <w:vAlign w:val="bottom"/>
          </w:tcPr>
          <w:p>
            <w:pPr>
              <w:spacing w:after="0"/>
              <w:rPr>
                <w:sz w:val="1"/>
                <w:szCs w:val="1"/>
                <w:color w:val="auto"/>
              </w:rPr>
            </w:pPr>
          </w:p>
        </w:tc>
      </w:tr>
      <w:tr>
        <w:trPr>
          <w:trHeight w:val="227"/>
        </w:trPr>
        <w:tc>
          <w:tcPr>
            <w:tcW w:w="4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Middle East and Algeria</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27"/>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Africa</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27"/>
        </w:trPr>
        <w:tc>
          <w:tcPr>
            <w:tcW w:w="4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27"/>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Australia and New Zealand</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27"/>
        </w:trPr>
        <w:tc>
          <w:tcPr>
            <w:tcW w:w="4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Mexico, Central America and Caribbean</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45"/>
        </w:trPr>
        <w:tc>
          <w:tcPr>
            <w:tcW w:w="43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2,050.5</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Major products:</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Tractors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10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910.3</w:t>
            </w:r>
          </w:p>
        </w:tc>
        <w:tc>
          <w:tcPr>
            <w:tcW w:w="8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1,254.1</w:t>
            </w:r>
          </w:p>
        </w:tc>
        <w:tc>
          <w:tcPr>
            <w:tcW w:w="0" w:type="dxa"/>
            <w:vAlign w:val="bottom"/>
          </w:tcPr>
          <w:p>
            <w:pPr>
              <w:spacing w:after="0"/>
              <w:rPr>
                <w:sz w:val="1"/>
                <w:szCs w:val="1"/>
                <w:color w:val="auto"/>
              </w:rPr>
            </w:pPr>
          </w:p>
        </w:tc>
      </w:tr>
      <w:tr>
        <w:trPr>
          <w:trHeight w:val="227"/>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Replacement parts</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w:t>
            </w:r>
          </w:p>
        </w:tc>
        <w:tc>
          <w:tcPr>
            <w:tcW w:w="0" w:type="dxa"/>
            <w:vAlign w:val="bottom"/>
          </w:tcPr>
          <w:p>
            <w:pPr>
              <w:spacing w:after="0"/>
              <w:rPr>
                <w:sz w:val="1"/>
                <w:szCs w:val="1"/>
                <w:color w:val="auto"/>
              </w:rPr>
            </w:pPr>
          </w:p>
        </w:tc>
      </w:tr>
      <w:tr>
        <w:trPr>
          <w:trHeight w:val="227"/>
        </w:trPr>
        <w:tc>
          <w:tcPr>
            <w:tcW w:w="4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Grain storage and protein production systems</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7"/>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Combines, application equipment and other machinery</w:t>
            </w: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w:t>
            </w:r>
          </w:p>
        </w:tc>
        <w:tc>
          <w:tcPr>
            <w:tcW w:w="0" w:type="dxa"/>
            <w:vAlign w:val="bottom"/>
          </w:tcPr>
          <w:p>
            <w:pPr>
              <w:spacing w:after="0"/>
              <w:rPr>
                <w:sz w:val="1"/>
                <w:szCs w:val="1"/>
                <w:color w:val="auto"/>
              </w:rPr>
            </w:pPr>
          </w:p>
        </w:tc>
      </w:tr>
      <w:tr>
        <w:trPr>
          <w:trHeight w:val="220"/>
        </w:trPr>
        <w:tc>
          <w:tcPr>
            <w:tcW w:w="43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1,330.5</w:t>
            </w:r>
          </w:p>
        </w:tc>
        <w:tc>
          <w:tcPr>
            <w:tcW w:w="80" w:type="dxa"/>
            <w:vAlign w:val="bottom"/>
          </w:tcPr>
          <w:p>
            <w:pPr>
              <w:spacing w:after="0"/>
              <w:rPr>
                <w:sz w:val="19"/>
                <w:szCs w:val="19"/>
                <w:color w:val="auto"/>
              </w:rPr>
            </w:pPr>
          </w:p>
        </w:tc>
        <w:tc>
          <w:tcPr>
            <w:tcW w:w="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2,050.5</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w:t>
      </w:r>
    </w:p>
    <w:p>
      <w:pPr>
        <w:spacing w:after="0" w:line="24" w:lineRule="exact"/>
        <w:rPr>
          <w:sz w:val="20"/>
          <w:szCs w:val="20"/>
          <w:color w:val="auto"/>
        </w:rPr>
      </w:pPr>
    </w:p>
    <w:p>
      <w:pPr>
        <w:ind w:left="320" w:hanging="233"/>
        <w:spacing w:after="0" w:line="182" w:lineRule="exact"/>
        <w:tabs>
          <w:tab w:leader="none" w:pos="330" w:val="left"/>
        </w:tabs>
        <w:numPr>
          <w:ilvl w:val="0"/>
          <w:numId w:val="1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Effective January 1, 2026, the Company realigned its organizational structure to support its Farmer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First transformation initiatives in North America. As a result, the Company’s Mexico operations were transferred from the North America segment to the South America segment, which was renamed Latin America. Segment information for all prior periods presented has been retrospectively adjusted to reflect this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SEGMENT REPORTING</w:t>
      </w:r>
    </w:p>
    <w:p>
      <w:pPr>
        <w:spacing w:after="0" w:line="248" w:lineRule="exact"/>
        <w:rPr>
          <w:sz w:val="20"/>
          <w:szCs w:val="20"/>
          <w:color w:val="auto"/>
        </w:rPr>
      </w:pPr>
    </w:p>
    <w:p>
      <w:pPr>
        <w:ind w:right="20" w:firstLine="174"/>
        <w:spacing w:after="0" w:line="215" w:lineRule="exact"/>
        <w:rPr>
          <w:sz w:val="20"/>
          <w:szCs w:val="20"/>
          <w:color w:val="auto"/>
        </w:rPr>
      </w:pPr>
      <w:r>
        <w:rPr>
          <w:rFonts w:ascii="Times New Roman" w:cs="Times New Roman" w:eastAsia="Times New Roman" w:hAnsi="Times New Roman"/>
          <w:sz w:val="17"/>
          <w:szCs w:val="17"/>
          <w:color w:val="auto"/>
        </w:rPr>
        <w:t>The Company has four operating segments which are also its reportable segments which consist of the North America, Latin America, Europe/Middle East and Asia/Pacific/Africa regions. Effective January 1, 2026, the Company realigned its organizational structure to support its Farmer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First transformation initiatives in North America. As a result, the Company’s Mexico operations were transferred from the North America segment to the South America segment, which was renamed Latin America. Segment information for all prior periods presented has been retrospectively adjusted to reflect this change. The Company’s reportable segments are geography based and distribute a full range of agricultural machinery and precision agriculture technology. The Company’s Chief Operating Decision Maker (“CODM”), Eric P. Hansotia, Chairman of the Board, President and Chief Executive Officer, evaluates segment performance primarily based on income from operations. The CODM utilizes income from operations to evaluate each segment’s performance including the allocation of resources. Sales for each segment are based on the location of the third-party customer. The Company’s selling, general and administrative expenses and engineering expenses are generally charged to each segment based on the region and division where the expenses are incurred. As a result, the components of income (loss) from operations for one segment may not be comparable to another segment. Segment results for the three months ended March 31, 2026 and 2025 and assets as of March 31, 2026 and December 31, 2025 based on the Company’s reportable segments are as follows (in millions):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6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North</w:t>
            </w:r>
          </w:p>
        </w:tc>
        <w:tc>
          <w:tcPr>
            <w:tcW w:w="16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Latin</w:t>
            </w:r>
          </w:p>
        </w:tc>
        <w:tc>
          <w:tcPr>
            <w:tcW w:w="14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Europe/Middle</w:t>
            </w:r>
          </w:p>
        </w:tc>
        <w:tc>
          <w:tcPr>
            <w:tcW w:w="1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Asia/Pacific/Africa</w:t>
            </w:r>
          </w:p>
        </w:tc>
        <w:tc>
          <w:tcPr>
            <w:tcW w:w="160" w:type="dxa"/>
            <w:vAlign w:val="bottom"/>
          </w:tcPr>
          <w:p>
            <w:pPr>
              <w:spacing w:after="0"/>
              <w:rPr>
                <w:sz w:val="17"/>
                <w:szCs w:val="17"/>
                <w:color w:val="auto"/>
              </w:rPr>
            </w:pPr>
          </w:p>
        </w:tc>
        <w:tc>
          <w:tcPr>
            <w:tcW w:w="94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0"/>
        </w:trPr>
        <w:tc>
          <w:tcPr>
            <w:tcW w:w="48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America</w:t>
            </w:r>
          </w:p>
        </w:tc>
        <w:tc>
          <w:tcPr>
            <w:tcW w:w="160" w:type="dxa"/>
            <w:vAlign w:val="bottom"/>
          </w:tcPr>
          <w:p>
            <w:pPr>
              <w:spacing w:after="0"/>
              <w:rPr>
                <w:sz w:val="20"/>
                <w:szCs w:val="20"/>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America</w:t>
            </w:r>
          </w:p>
        </w:tc>
        <w:tc>
          <w:tcPr>
            <w:tcW w:w="300" w:type="dxa"/>
            <w:vAlign w:val="bottom"/>
          </w:tcPr>
          <w:p>
            <w:pPr>
              <w:spacing w:after="0"/>
              <w:rPr>
                <w:sz w:val="20"/>
                <w:szCs w:val="20"/>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East</w:t>
            </w:r>
          </w:p>
        </w:tc>
        <w:tc>
          <w:tcPr>
            <w:tcW w:w="156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Segments</w:t>
            </w:r>
          </w:p>
        </w:tc>
        <w:tc>
          <w:tcPr>
            <w:tcW w:w="0" w:type="dxa"/>
            <w:vAlign w:val="bottom"/>
          </w:tcPr>
          <w:p>
            <w:pPr>
              <w:spacing w:after="0"/>
              <w:rPr>
                <w:sz w:val="1"/>
                <w:szCs w:val="1"/>
                <w:color w:val="auto"/>
              </w:rPr>
            </w:pPr>
          </w:p>
        </w:tc>
      </w:tr>
      <w:tr>
        <w:trPr>
          <w:trHeight w:val="220"/>
        </w:trPr>
        <w:tc>
          <w:tcPr>
            <w:tcW w:w="47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1,600.8</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2,342.9</w:t>
            </w:r>
          </w:p>
        </w:tc>
        <w:tc>
          <w:tcPr>
            <w:tcW w:w="0" w:type="dxa"/>
            <w:vAlign w:val="bottom"/>
          </w:tcPr>
          <w:p>
            <w:pPr>
              <w:spacing w:after="0"/>
              <w:rPr>
                <w:sz w:val="1"/>
                <w:szCs w:val="1"/>
                <w:color w:val="auto"/>
              </w:rPr>
            </w:pPr>
          </w:p>
        </w:tc>
      </w:tr>
      <w:tr>
        <w:trPr>
          <w:trHeight w:val="227"/>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1,119.5</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1,761.5</w:t>
            </w:r>
          </w:p>
        </w:tc>
        <w:tc>
          <w:tcPr>
            <w:tcW w:w="0" w:type="dxa"/>
            <w:vAlign w:val="bottom"/>
          </w:tcPr>
          <w:p>
            <w:pPr>
              <w:spacing w:after="0"/>
              <w:rPr>
                <w:sz w:val="1"/>
                <w:szCs w:val="1"/>
                <w:color w:val="auto"/>
              </w:rPr>
            </w:pPr>
          </w:p>
        </w:tc>
      </w:tr>
      <w:tr>
        <w:trPr>
          <w:trHeight w:val="227"/>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0" w:type="dxa"/>
            <w:vAlign w:val="bottom"/>
          </w:tcPr>
          <w:p>
            <w:pPr>
              <w:spacing w:after="0"/>
              <w:rPr>
                <w:sz w:val="1"/>
                <w:szCs w:val="1"/>
                <w:color w:val="auto"/>
              </w:rPr>
            </w:pPr>
          </w:p>
        </w:tc>
      </w:tr>
      <w:tr>
        <w:trPr>
          <w:trHeight w:val="227"/>
        </w:trPr>
        <w:tc>
          <w:tcPr>
            <w:tcW w:w="4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Engineering expenses</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0" w:type="dxa"/>
            <w:vAlign w:val="bottom"/>
          </w:tcPr>
          <w:p>
            <w:pPr>
              <w:spacing w:after="0"/>
              <w:rPr>
                <w:sz w:val="1"/>
                <w:szCs w:val="1"/>
                <w:color w:val="auto"/>
              </w:rPr>
            </w:pPr>
          </w:p>
        </w:tc>
      </w:tr>
      <w:tr>
        <w:trPr>
          <w:trHeight w:val="245"/>
        </w:trPr>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27"/>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53"/>
        </w:trPr>
        <w:tc>
          <w:tcPr>
            <w:tcW w:w="47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1,330.5</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2,050.5</w:t>
            </w:r>
          </w:p>
        </w:tc>
        <w:tc>
          <w:tcPr>
            <w:tcW w:w="0" w:type="dxa"/>
            <w:vAlign w:val="bottom"/>
          </w:tcPr>
          <w:p>
            <w:pPr>
              <w:spacing w:after="0"/>
              <w:rPr>
                <w:sz w:val="1"/>
                <w:szCs w:val="1"/>
                <w:color w:val="auto"/>
              </w:rPr>
            </w:pPr>
          </w:p>
        </w:tc>
      </w:tr>
      <w:tr>
        <w:trPr>
          <w:trHeight w:val="227"/>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970.9</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1,529.9</w:t>
            </w:r>
          </w:p>
        </w:tc>
        <w:tc>
          <w:tcPr>
            <w:tcW w:w="0" w:type="dxa"/>
            <w:vAlign w:val="bottom"/>
          </w:tcPr>
          <w:p>
            <w:pPr>
              <w:spacing w:after="0"/>
              <w:rPr>
                <w:sz w:val="1"/>
                <w:szCs w:val="1"/>
                <w:color w:val="auto"/>
              </w:rPr>
            </w:pPr>
          </w:p>
        </w:tc>
      </w:tr>
      <w:tr>
        <w:trPr>
          <w:trHeight w:val="227"/>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0" w:type="dxa"/>
            <w:vAlign w:val="bottom"/>
          </w:tcPr>
          <w:p>
            <w:pPr>
              <w:spacing w:after="0"/>
              <w:rPr>
                <w:sz w:val="1"/>
                <w:szCs w:val="1"/>
                <w:color w:val="auto"/>
              </w:rPr>
            </w:pPr>
          </w:p>
        </w:tc>
      </w:tr>
      <w:tr>
        <w:trPr>
          <w:trHeight w:val="227"/>
        </w:trPr>
        <w:tc>
          <w:tcPr>
            <w:tcW w:w="4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Engineering expenses</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0" w:type="dxa"/>
            <w:vAlign w:val="bottom"/>
          </w:tcPr>
          <w:p>
            <w:pPr>
              <w:spacing w:after="0"/>
              <w:rPr>
                <w:sz w:val="1"/>
                <w:szCs w:val="1"/>
                <w:color w:val="auto"/>
              </w:rPr>
            </w:pPr>
          </w:p>
        </w:tc>
      </w:tr>
      <w:tr>
        <w:trPr>
          <w:trHeight w:val="245"/>
        </w:trPr>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0" w:type="dxa"/>
            <w:vAlign w:val="bottom"/>
          </w:tcPr>
          <w:p>
            <w:pPr>
              <w:spacing w:after="0"/>
              <w:rPr>
                <w:sz w:val="1"/>
                <w:szCs w:val="1"/>
                <w:color w:val="auto"/>
              </w:rPr>
            </w:pPr>
          </w:p>
        </w:tc>
      </w:tr>
      <w:tr>
        <w:trPr>
          <w:trHeight w:val="227"/>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67"/>
        </w:trPr>
        <w:tc>
          <w:tcPr>
            <w:tcW w:w="47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March 31, 2026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6,378.8</w:t>
            </w:r>
          </w:p>
        </w:tc>
        <w:tc>
          <w:tcPr>
            <w:tcW w:w="0" w:type="dxa"/>
            <w:vAlign w:val="bottom"/>
          </w:tcPr>
          <w:p>
            <w:pPr>
              <w:spacing w:after="0"/>
              <w:rPr>
                <w:sz w:val="1"/>
                <w:szCs w:val="1"/>
                <w:color w:val="auto"/>
              </w:rPr>
            </w:pPr>
          </w:p>
        </w:tc>
      </w:tr>
      <w:tr>
        <w:trPr>
          <w:trHeight w:val="232"/>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of December 31, 2025</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2,907.6</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5,976.1</w:t>
            </w:r>
          </w:p>
        </w:tc>
        <w:tc>
          <w:tcPr>
            <w:tcW w:w="0" w:type="dxa"/>
            <w:vAlign w:val="bottom"/>
          </w:tcPr>
          <w:p>
            <w:pPr>
              <w:spacing w:after="0"/>
              <w:rPr>
                <w:sz w:val="1"/>
                <w:szCs w:val="1"/>
                <w:color w:val="auto"/>
              </w:rPr>
            </w:pPr>
          </w:p>
        </w:tc>
      </w:tr>
      <w:tr>
        <w:trPr>
          <w:trHeight w:val="875"/>
        </w:trPr>
        <w:tc>
          <w:tcPr>
            <w:tcW w:w="4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7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 reconciliation from the segment information to the consolidated balances for income from operations is set forth below (in millions):</w:t>
      </w:r>
    </w:p>
    <w:p>
      <w:pPr>
        <w:spacing w:after="0" w:line="272"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0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080" w:type="dxa"/>
            <w:vAlign w:val="bottom"/>
            <w:tcBorders>
              <w:bottom w:val="single" w:sz="8" w:color="CCEEFF"/>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income from operations</w:t>
            </w:r>
          </w:p>
        </w:tc>
        <w:tc>
          <w:tcPr>
            <w:tcW w:w="1000" w:type="dxa"/>
            <w:vAlign w:val="bottom"/>
            <w:shd w:val="clear" w:color="auto" w:fill="CCEEFF"/>
          </w:tcPr>
          <w:p>
            <w:pPr>
              <w:jc w:val="right"/>
              <w:ind w:right="81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r>
      <w:tr>
        <w:trPr>
          <w:trHeight w:val="227"/>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charges</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7"/>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expenses</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r>
      <w:tr>
        <w:trPr>
          <w:trHeight w:val="227"/>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7"/>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7"/>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Restructuring and business optimization expenses</w:t>
            </w: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45"/>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income from operations</w:t>
            </w:r>
          </w:p>
        </w:tc>
        <w:tc>
          <w:tcPr>
            <w:tcW w:w="1000" w:type="dxa"/>
            <w:vAlign w:val="bottom"/>
            <w:tcBorders>
              <w:bottom w:val="single" w:sz="8" w:color="auto"/>
            </w:tcBorders>
            <w:shd w:val="clear" w:color="auto" w:fill="CCEEFF"/>
          </w:tcPr>
          <w:p>
            <w:pPr>
              <w:jc w:val="right"/>
              <w:ind w:right="81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48" w:lineRule="exact"/>
        <w:rPr>
          <w:sz w:val="20"/>
          <w:szCs w:val="20"/>
          <w:color w:val="auto"/>
        </w:rPr>
      </w:pPr>
    </w:p>
    <w:p>
      <w:pPr>
        <w:ind w:right="40" w:firstLine="178"/>
        <w:spacing w:after="0" w:line="250" w:lineRule="auto"/>
        <w:rPr>
          <w:sz w:val="20"/>
          <w:szCs w:val="20"/>
          <w:color w:val="auto"/>
        </w:rPr>
      </w:pPr>
      <w:r>
        <w:rPr>
          <w:rFonts w:ascii="Times New Roman" w:cs="Times New Roman" w:eastAsia="Times New Roman" w:hAnsi="Times New Roman"/>
          <w:sz w:val="18"/>
          <w:szCs w:val="18"/>
          <w:color w:val="auto"/>
        </w:rPr>
        <w:t>Our operations are subject to the cyclical and seasonal nature of the agricultural industry. Sales of our equipment are affected by, among other things, changes in farm income, farm land values and debt levels, financing costs, acreage planted, crop yields, weather conditions, the demand for agricultural commodities, commodity and protein prices, agricultural product demand and general economic conditions and government policies, tariffs and subsidies. We sell our equipment, precision agriculture technology and replacement parts to our independent dealers, distributors and other customers. A large majority of our sales are to independent dealers and distributors that sell our products to end users. To the extent practicable, we attempt to sell products to our dealers and distributors on a level basis throughout the year to reduce the effect of seasonal demands on our manufacturing operations and to minimize our investment in inventories. However, retail sales by dealers to farmers are highly seasonal and are a function of the timing of the planting and harvesting seasons. In certain markets, particularly in North America, there is often a time lag, which varies based on the timing and level of retail demand, between our sale of the equipment to the dealer and the dealer’s sale to a retail customer.</w:t>
      </w:r>
    </w:p>
    <w:p>
      <w:pPr>
        <w:spacing w:after="0" w:line="219" w:lineRule="exact"/>
        <w:rPr>
          <w:sz w:val="20"/>
          <w:szCs w:val="20"/>
          <w:color w:val="auto"/>
        </w:rPr>
      </w:pPr>
    </w:p>
    <w:p>
      <w:pPr>
        <w:ind w:firstLine="174"/>
        <w:spacing w:after="0" w:line="214" w:lineRule="exact"/>
        <w:rPr>
          <w:sz w:val="20"/>
          <w:szCs w:val="20"/>
          <w:color w:val="auto"/>
        </w:rPr>
      </w:pPr>
      <w:r>
        <w:rPr>
          <w:rFonts w:ascii="Times New Roman" w:cs="Times New Roman" w:eastAsia="Times New Roman" w:hAnsi="Times New Roman"/>
          <w:sz w:val="18"/>
          <w:szCs w:val="18"/>
          <w:color w:val="auto"/>
        </w:rPr>
        <w:t>The global trade landscape continues to be highly volatile. In 2025, the U.S. government implemented a series of tariffs on goods imported into the United States from various countries, and in many cases these measures resulted in reciprocal tariffs and other actions on goods exported from the United States. These tariffs and related actions are complex and continue to evolve as trade negotiations occur. In February 2026, the U.S. Supreme Court ruled that the International Emergency Economic Powers Act (“IEEPA”), which the U.S. government had relied on to impose certain tariffs, does not authorize the administration to impose such tariffs. Following that decision, on March 4, 2026, the U.S. Court of International Trade (“CIT”) ordered U.S. Customs and Border Protection (“CBP”) to process refunds of tariffs imposed under IEEPA, and on March 27, 2026, the CIT issued an amended order expanding the scope of entries subject to reliquidation. On April 20, 2026, the Consolidated Administration and Processing of Entries system opened for the first phase of refund filings. We have submitted certain refund claims under this initial phase; however, these claims remain subject to CBP review, and we cannot predict the timing, amount or ultimate collectability of any refunds to which we may be entitled. The IEEPA tariffs remain subject to ongoing litigation, and the administration has announced plans to implement new tariffs under alternative statutory authority. As a result, the timing and extent of any refunds, the structure and scope of any new tariffs and the overall tariff framework remain uncertain and could create significant risks for our business. Depending on the countries affected, increases in tariffs have raised, and may continue to raise, the costs of inputs used in manufacturing our products, which in turn has impacted, and may further impact, our cost of goods sold. In addition, higher tariffs may lead to increased after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tariff sales prices for the products we sell. Additionally, the economic uncertainty caused by the tariffs may result in customers delaying planned purchases of products and services. While impacts of the tariffs may be partially mitigated by the fact that a majority of our sales and manufacturing takes place outside the United States, there can be no guarantee that we will be able to fully offset the impact of existing or future tariffs through pricing, sourcing changes or other measures. Furthermore, retaliatory tariffs imposed by other countries on our exported products could negatively affect our sales and marketplace access in those countries. The economic uncertainty caused by these tariffs and related trade policy developments, together with uncertainty regarding their enforceability, continuation or modification, has adversely impacted, and is expected to continue to adversely impact, our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48" w:lineRule="exact"/>
        <w:rPr>
          <w:sz w:val="20"/>
          <w:szCs w:val="20"/>
          <w:color w:val="auto"/>
        </w:rPr>
      </w:pPr>
    </w:p>
    <w:p>
      <w:pPr>
        <w:ind w:firstLine="174"/>
        <w:spacing w:after="0" w:line="276" w:lineRule="auto"/>
        <w:rPr>
          <w:sz w:val="20"/>
          <w:szCs w:val="20"/>
          <w:color w:val="auto"/>
        </w:rPr>
      </w:pPr>
      <w:r>
        <w:rPr>
          <w:rFonts w:ascii="Times New Roman" w:cs="Times New Roman" w:eastAsia="Times New Roman" w:hAnsi="Times New Roman"/>
          <w:sz w:val="18"/>
          <w:szCs w:val="18"/>
          <w:color w:val="auto"/>
        </w:rPr>
        <w:t>The following table sets forth the percentage relationship to net sales of certain items included in our Condensed Consolidated Statements of Operations (in millions, except percentages):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6"/>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520" w:type="dxa"/>
            <w:vAlign w:val="bottom"/>
            <w:tcBorders>
              <w:bottom w:val="single" w:sz="8" w:color="auto"/>
            </w:tcBorders>
          </w:tcPr>
          <w:p>
            <w:pPr>
              <w:spacing w:after="0"/>
              <w:rPr>
                <w:sz w:val="20"/>
                <w:szCs w:val="20"/>
                <w:color w:val="auto"/>
              </w:rPr>
            </w:pPr>
          </w:p>
        </w:tc>
      </w:tr>
      <w:tr>
        <w:trPr>
          <w:trHeight w:val="220"/>
        </w:trPr>
        <w:tc>
          <w:tcPr>
            <w:tcW w:w="42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520" w:type="dxa"/>
            <w:vAlign w:val="bottom"/>
            <w:tcBorders>
              <w:bottom w:val="single" w:sz="8" w:color="auto"/>
            </w:tcBorders>
          </w:tcPr>
          <w:p>
            <w:pPr>
              <w:spacing w:after="0"/>
              <w:rPr>
                <w:sz w:val="19"/>
                <w:szCs w:val="19"/>
                <w:color w:val="auto"/>
              </w:rPr>
            </w:pPr>
          </w:p>
        </w:tc>
      </w:tr>
      <w:tr>
        <w:trPr>
          <w:trHeight w:val="220"/>
        </w:trPr>
        <w:tc>
          <w:tcPr>
            <w:tcW w:w="42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67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 of Net Sales</w:t>
            </w:r>
            <w:r>
              <w:rPr>
                <w:rFonts w:ascii="Times New Roman" w:cs="Times New Roman" w:eastAsia="Times New Roman" w:hAnsi="Times New Roman"/>
                <w:sz w:val="9"/>
                <w:szCs w:val="9"/>
                <w:b w:val="1"/>
                <w:bCs w:val="1"/>
                <w:color w:val="auto"/>
              </w:rPr>
              <w:t>(1)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67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 of Net Sales</w:t>
            </w:r>
            <w:r>
              <w:rPr>
                <w:rFonts w:ascii="Times New Roman" w:cs="Times New Roman" w:eastAsia="Times New Roman" w:hAnsi="Times New Roman"/>
                <w:sz w:val="9"/>
                <w:szCs w:val="9"/>
                <w:b w:val="1"/>
                <w:bCs w:val="1"/>
                <w:color w:val="auto"/>
              </w:rPr>
              <w:t>(1)</w:t>
            </w:r>
          </w:p>
        </w:tc>
      </w:tr>
      <w:tr>
        <w:trPr>
          <w:trHeight w:val="22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4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7"/>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4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74.6</w:t>
            </w:r>
          </w:p>
        </w:tc>
      </w:tr>
      <w:tr>
        <w:trPr>
          <w:trHeight w:val="22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25.4</w:t>
            </w:r>
          </w:p>
        </w:tc>
      </w:tr>
      <w:tr>
        <w:trPr>
          <w:trHeight w:val="227"/>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15.9</w:t>
            </w:r>
          </w:p>
        </w:tc>
      </w:tr>
      <w:tr>
        <w:trPr>
          <w:trHeight w:val="227"/>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Engineering expenses</w:t>
            </w: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5.7</w:t>
            </w:r>
          </w:p>
        </w:tc>
      </w:tr>
      <w:tr>
        <w:trPr>
          <w:trHeight w:val="227"/>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0.7</w:t>
            </w:r>
          </w:p>
        </w:tc>
      </w:tr>
      <w:tr>
        <w:trPr>
          <w:trHeight w:val="227"/>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 charges</w:t>
            </w: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0.1</w:t>
            </w:r>
          </w:p>
        </w:tc>
      </w:tr>
      <w:tr>
        <w:trPr>
          <w:trHeight w:val="227"/>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and business optimization expenses</w:t>
            </w:r>
          </w:p>
        </w:tc>
        <w:tc>
          <w:tcPr>
            <w:tcW w:w="4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0.6</w:t>
            </w:r>
          </w:p>
        </w:tc>
      </w:tr>
      <w:tr>
        <w:trPr>
          <w:trHeight w:val="22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2.4</w:t>
            </w:r>
          </w:p>
        </w:tc>
      </w:tr>
      <w:tr>
        <w:trPr>
          <w:trHeight w:val="227"/>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0.9</w:t>
            </w:r>
          </w:p>
        </w:tc>
      </w:tr>
      <w:tr>
        <w:trPr>
          <w:trHeight w:val="227"/>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1.6</w:t>
            </w:r>
          </w:p>
        </w:tc>
      </w:tr>
      <w:tr>
        <w:trPr>
          <w:trHeight w:val="153"/>
        </w:trPr>
        <w:tc>
          <w:tcPr>
            <w:tcW w:w="428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Income (loss) before income taxes and equity in net</w:t>
            </w:r>
          </w:p>
        </w:tc>
        <w:tc>
          <w:tcPr>
            <w:tcW w:w="4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r>
      <w:tr>
        <w:trPr>
          <w:trHeight w:val="24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of affiliates</w:t>
            </w:r>
          </w:p>
        </w:tc>
        <w:tc>
          <w:tcPr>
            <w:tcW w:w="4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(0.1)</w:t>
            </w:r>
          </w:p>
        </w:tc>
      </w:tr>
      <w:tr>
        <w:trPr>
          <w:trHeight w:val="227"/>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Income tax provision</w:t>
            </w: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0.1</w:t>
            </w:r>
          </w:p>
        </w:tc>
      </w:tr>
      <w:tr>
        <w:trPr>
          <w:trHeight w:val="22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equity in net earnings of affiliates</w:t>
            </w: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(0.2)</w:t>
            </w:r>
          </w:p>
        </w:tc>
      </w:tr>
      <w:tr>
        <w:trPr>
          <w:trHeight w:val="227"/>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Equity in net earnings of affiliates</w:t>
            </w: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0.6</w:t>
            </w:r>
          </w:p>
        </w:tc>
      </w:tr>
      <w:tr>
        <w:trPr>
          <w:trHeight w:val="22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0.4</w:t>
            </w:r>
          </w:p>
        </w:tc>
      </w:tr>
      <w:tr>
        <w:trPr>
          <w:trHeight w:val="227"/>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0.1</w:t>
            </w:r>
          </w:p>
        </w:tc>
      </w:tr>
      <w:tr>
        <w:trPr>
          <w:trHeight w:val="245"/>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AGCO Corporation</w:t>
            </w:r>
          </w:p>
        </w:tc>
        <w:tc>
          <w:tcPr>
            <w:tcW w:w="44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w:t>
      </w:r>
    </w:p>
    <w:p>
      <w:pPr>
        <w:spacing w:after="0" w:line="30" w:lineRule="exact"/>
        <w:rPr>
          <w:sz w:val="20"/>
          <w:szCs w:val="20"/>
          <w:color w:val="auto"/>
        </w:rPr>
      </w:pPr>
    </w:p>
    <w:p>
      <w:pPr>
        <w:ind w:left="340" w:hanging="253"/>
        <w:spacing w:after="0"/>
        <w:tabs>
          <w:tab w:leader="none" w:pos="340"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Rounding may impact summation of amounts.</w:t>
      </w:r>
    </w:p>
    <w:p>
      <w:pPr>
        <w:spacing w:after="0" w:line="233" w:lineRule="exact"/>
        <w:rPr>
          <w:sz w:val="20"/>
          <w:szCs w:val="20"/>
          <w:color w:val="auto"/>
        </w:rPr>
      </w:pPr>
    </w:p>
    <w:p>
      <w:pPr>
        <w:ind w:right="380" w:firstLine="178"/>
        <w:spacing w:after="0" w:line="276" w:lineRule="auto"/>
        <w:rPr>
          <w:sz w:val="20"/>
          <w:szCs w:val="20"/>
          <w:color w:val="auto"/>
        </w:rPr>
      </w:pPr>
      <w:r>
        <w:rPr>
          <w:rFonts w:ascii="Times New Roman" w:cs="Times New Roman" w:eastAsia="Times New Roman" w:hAnsi="Times New Roman"/>
          <w:sz w:val="18"/>
          <w:szCs w:val="18"/>
          <w:color w:val="auto"/>
        </w:rPr>
        <w:t>Net income attributable to AGCO Corporation for the three months ended March 31, 2026, was $55.0 million, or $0.76 per diluted share, compared to $10.5 million or $0.14 per diluted share, for the three months ended March 31, 2025.</w:t>
      </w:r>
    </w:p>
    <w:p>
      <w:pPr>
        <w:spacing w:after="0" w:line="190" w:lineRule="exact"/>
        <w:rPr>
          <w:sz w:val="20"/>
          <w:szCs w:val="20"/>
          <w:color w:val="auto"/>
        </w:rPr>
      </w:pPr>
    </w:p>
    <w:p>
      <w:pPr>
        <w:ind w:right="140" w:firstLine="178"/>
        <w:spacing w:after="0" w:line="254" w:lineRule="auto"/>
        <w:rPr>
          <w:sz w:val="20"/>
          <w:szCs w:val="20"/>
          <w:color w:val="auto"/>
        </w:rPr>
      </w:pPr>
      <w:r>
        <w:rPr>
          <w:rFonts w:ascii="Times New Roman" w:cs="Times New Roman" w:eastAsia="Times New Roman" w:hAnsi="Times New Roman"/>
          <w:sz w:val="18"/>
          <w:szCs w:val="18"/>
          <w:color w:val="auto"/>
        </w:rPr>
        <w:t>Net sales during the three months ended March 31, 2026 were approximately $2,342.9 million, or 14.3% higher than the three months ended March 31, 2025, primarily due to higher sales volumes in the North America, Europe/Middle East and Asia/Pacific/Africa regions, most significantly in high-horsepower tractors, and favorable currency translation. Income from operations was $80.7 million for the three months ended March 31, 2026 compared to $49.4 million in the three months ended March 31, 2025. The increase in income from operations during 2026 was the result of higher sales and production volumes, partially offset by higher selling, general and administrative expenses (“SG&amp;A expenses”) and engineering expenses.</w:t>
      </w:r>
    </w:p>
    <w:p>
      <w:pPr>
        <w:spacing w:after="0" w:line="211" w:lineRule="exact"/>
        <w:rPr>
          <w:sz w:val="20"/>
          <w:szCs w:val="20"/>
          <w:color w:val="auto"/>
        </w:rPr>
      </w:pPr>
    </w:p>
    <w:p>
      <w:pPr>
        <w:ind w:right="400" w:firstLine="174"/>
        <w:spacing w:after="0" w:line="261" w:lineRule="auto"/>
        <w:rPr>
          <w:sz w:val="20"/>
          <w:szCs w:val="20"/>
          <w:color w:val="auto"/>
        </w:rPr>
      </w:pPr>
      <w:r>
        <w:rPr>
          <w:rFonts w:ascii="Times New Roman" w:cs="Times New Roman" w:eastAsia="Times New Roman" w:hAnsi="Times New Roman"/>
          <w:sz w:val="18"/>
          <w:szCs w:val="18"/>
          <w:color w:val="auto"/>
        </w:rPr>
        <w:t>We estimate that worldwide average price increases (decreases) were approximately 1.6% and (0.1)% for the three months ended March 31, 2026 and 2025, respectively. Consolidated net sales of tractors and combines, which comprised approximately 67.0% of our net sales for the three months ended March 31, 2026, increased approximately 20.3% compared to the same period in 2025.</w:t>
      </w:r>
    </w:p>
    <w:p>
      <w:pPr>
        <w:spacing w:after="0" w:line="204" w:lineRule="exact"/>
        <w:rPr>
          <w:sz w:val="20"/>
          <w:szCs w:val="20"/>
          <w:color w:val="auto"/>
        </w:rPr>
      </w:pPr>
    </w:p>
    <w:p>
      <w:pPr>
        <w:ind w:right="340" w:firstLine="178"/>
        <w:spacing w:after="0" w:line="276" w:lineRule="auto"/>
        <w:rPr>
          <w:sz w:val="20"/>
          <w:szCs w:val="20"/>
          <w:color w:val="auto"/>
        </w:rPr>
      </w:pPr>
      <w:r>
        <w:rPr>
          <w:rFonts w:ascii="Times New Roman" w:cs="Times New Roman" w:eastAsia="Times New Roman" w:hAnsi="Times New Roman"/>
          <w:sz w:val="18"/>
          <w:szCs w:val="18"/>
          <w:color w:val="auto"/>
        </w:rPr>
        <w:t>Overall, global production hours increased approximately 14.9% during the three months ended March 31, 2026 compared to the same period in 2025, reflecting our response to end market demand.</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50" w:lineRule="exact"/>
        <w:rPr>
          <w:sz w:val="20"/>
          <w:szCs w:val="20"/>
          <w:color w:val="auto"/>
        </w:rPr>
      </w:pPr>
    </w:p>
    <w:p>
      <w:pPr>
        <w:ind w:right="200" w:firstLine="178"/>
        <w:spacing w:after="0" w:line="276" w:lineRule="auto"/>
        <w:rPr>
          <w:sz w:val="20"/>
          <w:szCs w:val="20"/>
          <w:color w:val="auto"/>
        </w:rPr>
      </w:pPr>
      <w:r>
        <w:rPr>
          <w:rFonts w:ascii="Times New Roman" w:cs="Times New Roman" w:eastAsia="Times New Roman" w:hAnsi="Times New Roman"/>
          <w:sz w:val="18"/>
          <w:szCs w:val="18"/>
          <w:color w:val="auto"/>
        </w:rPr>
        <w:t>Gross profit as a percentage of net sales decreased during the three months ended March 31, 2026 compared to the same period in 2025, primarily due to higher manufacturing costs, including increased tariff-related input costs.</w:t>
      </w:r>
    </w:p>
    <w:p>
      <w:pPr>
        <w:spacing w:after="0" w:line="190" w:lineRule="exact"/>
        <w:rPr>
          <w:sz w:val="20"/>
          <w:szCs w:val="20"/>
          <w:color w:val="auto"/>
        </w:rPr>
      </w:pPr>
    </w:p>
    <w:p>
      <w:pPr>
        <w:jc w:val="both"/>
        <w:ind w:right="40" w:firstLine="178"/>
        <w:spacing w:after="0" w:line="257" w:lineRule="auto"/>
        <w:rPr>
          <w:sz w:val="20"/>
          <w:szCs w:val="20"/>
          <w:color w:val="auto"/>
        </w:rPr>
      </w:pPr>
      <w:r>
        <w:rPr>
          <w:rFonts w:ascii="Times New Roman" w:cs="Times New Roman" w:eastAsia="Times New Roman" w:hAnsi="Times New Roman"/>
          <w:sz w:val="18"/>
          <w:szCs w:val="18"/>
          <w:color w:val="auto"/>
        </w:rPr>
        <w:t>SG&amp;A expenses, as a percentage of net sales, were lower during the three months ended March 31, 2026 compared to the same period in 2025 as net sales increased at a faster rate than SG&amp;A expenses. The absolute level of SG&amp;A expenses increased during the three months ended March 31, 2026 primarily due to foreign currency translation. We recorded $10.3 million of stock compensation expense within SG&amp;A expenses during the three months ended March 31, 2026 compared to $7.1 million during the same period in 2025.</w:t>
      </w:r>
    </w:p>
    <w:p>
      <w:pPr>
        <w:spacing w:after="0" w:line="206" w:lineRule="exact"/>
        <w:rPr>
          <w:sz w:val="20"/>
          <w:szCs w:val="20"/>
          <w:color w:val="auto"/>
        </w:rPr>
      </w:pPr>
    </w:p>
    <w:p>
      <w:pPr>
        <w:jc w:val="both"/>
        <w:ind w:right="40" w:firstLine="178"/>
        <w:spacing w:after="0" w:line="261" w:lineRule="auto"/>
        <w:rPr>
          <w:sz w:val="20"/>
          <w:szCs w:val="20"/>
          <w:color w:val="auto"/>
        </w:rPr>
      </w:pPr>
      <w:r>
        <w:rPr>
          <w:rFonts w:ascii="Times New Roman" w:cs="Times New Roman" w:eastAsia="Times New Roman" w:hAnsi="Times New Roman"/>
          <w:sz w:val="18"/>
          <w:szCs w:val="18"/>
          <w:color w:val="auto"/>
        </w:rPr>
        <w:t>Engineering expenses, as a percentage of net sales, were consistent during the three months ended March 31, 2026 compared to the same period in 2025 as net sales increased at a similar rate as engineering expenses. The absolute value of engineering expenses increased during the three months ended March 31, 2026 driven by an increase in product innovation and other technology investments.</w:t>
      </w:r>
    </w:p>
    <w:p>
      <w:pPr>
        <w:spacing w:after="0" w:line="204" w:lineRule="exact"/>
        <w:rPr>
          <w:sz w:val="20"/>
          <w:szCs w:val="20"/>
          <w:color w:val="auto"/>
        </w:rPr>
      </w:pPr>
    </w:p>
    <w:p>
      <w:pPr>
        <w:ind w:right="560" w:firstLine="174"/>
        <w:spacing w:after="0" w:line="276" w:lineRule="auto"/>
        <w:rPr>
          <w:sz w:val="20"/>
          <w:szCs w:val="20"/>
          <w:color w:val="auto"/>
        </w:rPr>
      </w:pPr>
      <w:r>
        <w:rPr>
          <w:rFonts w:ascii="Times New Roman" w:cs="Times New Roman" w:eastAsia="Times New Roman" w:hAnsi="Times New Roman"/>
          <w:sz w:val="18"/>
          <w:szCs w:val="18"/>
          <w:color w:val="auto"/>
        </w:rPr>
        <w:t>We recorded impairment charges of $2.1 million during the three months ended March 31, 2026 compared to $1.1 million recorded during the three months ended March 31, 2025, related to the impairment of certain other assets.</w:t>
      </w:r>
    </w:p>
    <w:p>
      <w:pPr>
        <w:spacing w:after="0" w:line="190" w:lineRule="exact"/>
        <w:rPr>
          <w:sz w:val="20"/>
          <w:szCs w:val="20"/>
          <w:color w:val="auto"/>
        </w:rPr>
      </w:pPr>
    </w:p>
    <w:p>
      <w:pPr>
        <w:ind w:right="140" w:firstLine="174"/>
        <w:spacing w:after="0" w:line="254" w:lineRule="auto"/>
        <w:rPr>
          <w:sz w:val="20"/>
          <w:szCs w:val="20"/>
          <w:color w:val="auto"/>
        </w:rPr>
      </w:pPr>
      <w:r>
        <w:rPr>
          <w:rFonts w:ascii="Times New Roman" w:cs="Times New Roman" w:eastAsia="Times New Roman" w:hAnsi="Times New Roman"/>
          <w:sz w:val="18"/>
          <w:szCs w:val="18"/>
          <w:color w:val="auto"/>
        </w:rPr>
        <w:t xml:space="preserve">We recorded restructuring and business optimization expenses of $10.0 million during the three months ended March 31, 2026 compared to $13.0 million during the same period in 2025. The Company announced a restructuring program (the “Program”) in response to increased weakening demand in the agriculture industry in 2024. The Company incurred a substantial portion of the charges by the end of fiscal year 2025. The restructuring expenses recorded during the three months ended March 31, 2026 and 2025 primarily related to severance, business optimization and other related costs associated with the Company's Program. Refer to </w:t>
      </w:r>
      <w:r>
        <w:rPr>
          <w:rFonts w:ascii="Times New Roman" w:cs="Times New Roman" w:eastAsia="Times New Roman" w:hAnsi="Times New Roman"/>
          <w:sz w:val="18"/>
          <w:szCs w:val="18"/>
          <w:u w:val="single" w:color="auto"/>
          <w:color w:val="0000FF"/>
        </w:rPr>
        <w:t>Note 8</w:t>
      </w:r>
      <w:r>
        <w:rPr>
          <w:rFonts w:ascii="Times New Roman" w:cs="Times New Roman" w:eastAsia="Times New Roman" w:hAnsi="Times New Roman"/>
          <w:sz w:val="18"/>
          <w:szCs w:val="18"/>
          <w:color w:val="auto"/>
        </w:rPr>
        <w:t xml:space="preserve"> of our Condensed Consolidated Financial Statements for further information.</w:t>
      </w:r>
    </w:p>
    <w:p>
      <w:pPr>
        <w:spacing w:after="0" w:line="211" w:lineRule="exact"/>
        <w:rPr>
          <w:sz w:val="20"/>
          <w:szCs w:val="20"/>
          <w:color w:val="auto"/>
        </w:rPr>
      </w:pPr>
    </w:p>
    <w:p>
      <w:pPr>
        <w:ind w:firstLine="178"/>
        <w:spacing w:after="0" w:line="261" w:lineRule="auto"/>
        <w:rPr>
          <w:sz w:val="20"/>
          <w:szCs w:val="20"/>
          <w:color w:val="auto"/>
        </w:rPr>
      </w:pPr>
      <w:r>
        <w:rPr>
          <w:rFonts w:ascii="Times New Roman" w:cs="Times New Roman" w:eastAsia="Times New Roman" w:hAnsi="Times New Roman"/>
          <w:sz w:val="18"/>
          <w:szCs w:val="18"/>
          <w:color w:val="auto"/>
        </w:rPr>
        <w:t>Interest expense, net was $15.2 million for the three months ended March 31, 2026, compared to $18.5 million for the comparable period in 2025, resulting primarily from a decrease in interest expense related to lower borrowings on the Company's Credit Facility. Refer to “Liquidity and Capital Resources” for further information on our available funding.</w:t>
      </w:r>
    </w:p>
    <w:p>
      <w:pPr>
        <w:spacing w:after="0" w:line="204" w:lineRule="exact"/>
        <w:rPr>
          <w:sz w:val="20"/>
          <w:szCs w:val="20"/>
          <w:color w:val="auto"/>
        </w:rPr>
      </w:pPr>
    </w:p>
    <w:p>
      <w:pPr>
        <w:ind w:right="260" w:firstLine="178"/>
        <w:spacing w:after="0" w:line="254" w:lineRule="auto"/>
        <w:rPr>
          <w:sz w:val="20"/>
          <w:szCs w:val="20"/>
          <w:color w:val="auto"/>
        </w:rPr>
      </w:pPr>
      <w:r>
        <w:rPr>
          <w:rFonts w:ascii="Times New Roman" w:cs="Times New Roman" w:eastAsia="Times New Roman" w:hAnsi="Times New Roman"/>
          <w:sz w:val="18"/>
          <w:szCs w:val="18"/>
          <w:color w:val="auto"/>
        </w:rPr>
        <w:t>Other expense, net was $26.5 million for the three months ended March 31, 2026 compared to $32.3 million for the comparable period in 2025. The decrease was primarily driven by a decrease in foreign currency exchange losses which were approximately $5.2 million for the three months ended March 31, 2026, compared to $13.6 million for the comparable period in 2025. Losses on sales of receivables, primarily related to our accounts receivable sales agreements with our finance joint ventures in North America, Europe and Brazil and included in “Other expense, net,” were approximately $18.6 million, for the three months ended March 31, 2026, compared to $18.9 million for the comparable period in 2025.</w:t>
      </w:r>
    </w:p>
    <w:p>
      <w:pPr>
        <w:spacing w:after="0" w:line="211" w:lineRule="exact"/>
        <w:rPr>
          <w:sz w:val="20"/>
          <w:szCs w:val="20"/>
          <w:color w:val="auto"/>
        </w:rPr>
      </w:pPr>
    </w:p>
    <w:p>
      <w:pPr>
        <w:ind w:right="200" w:firstLine="174"/>
        <w:spacing w:after="0" w:line="261" w:lineRule="auto"/>
        <w:rPr>
          <w:sz w:val="20"/>
          <w:szCs w:val="20"/>
          <w:color w:val="auto"/>
        </w:rPr>
      </w:pPr>
      <w:r>
        <w:rPr>
          <w:rFonts w:ascii="Times New Roman" w:cs="Times New Roman" w:eastAsia="Times New Roman" w:hAnsi="Times New Roman"/>
          <w:sz w:val="18"/>
          <w:szCs w:val="18"/>
          <w:color w:val="auto"/>
        </w:rPr>
        <w:t>We recorded an income tax provision of $4.6 million for the three months ended March 31, 2026 compared to $2.0 million for the three months ended March 31, 2025. Our effective tax rate varies from period to period due to the mix of taxable income and losses in the various tax jurisdictions in which we operate.</w:t>
      </w:r>
    </w:p>
    <w:p>
      <w:pPr>
        <w:spacing w:after="0" w:line="204" w:lineRule="exact"/>
        <w:rPr>
          <w:sz w:val="20"/>
          <w:szCs w:val="20"/>
          <w:color w:val="auto"/>
        </w:rPr>
      </w:pPr>
    </w:p>
    <w:p>
      <w:pPr>
        <w:ind w:right="20" w:firstLine="178"/>
        <w:spacing w:after="0" w:line="276" w:lineRule="auto"/>
        <w:rPr>
          <w:sz w:val="20"/>
          <w:szCs w:val="20"/>
          <w:color w:val="auto"/>
        </w:rPr>
      </w:pPr>
      <w:r>
        <w:rPr>
          <w:rFonts w:ascii="Times New Roman" w:cs="Times New Roman" w:eastAsia="Times New Roman" w:hAnsi="Times New Roman"/>
          <w:sz w:val="18"/>
          <w:szCs w:val="18"/>
          <w:color w:val="auto"/>
        </w:rPr>
        <w:t>Equity in net earnings of affiliates, which is primarily comprised of income from our AGCO Finance joint ventures, was $18.0 million for the three months ended March 31, 2026 compared to $12.1 million for the three months ended March 31, 2025.</w:t>
      </w:r>
    </w:p>
    <w:p>
      <w:pPr>
        <w:spacing w:after="0" w:line="1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Company recorded a net loss attributable to noncontrolling interests of $2.6 million during the three months ended March 31, 2026, compared to</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million recorded during the three months ended March 31, 2025. The net loss primarily relates to the noncontrolling interests of the PTx Trimble joint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venture held by Trimble, which owns a 15% interest in the joint venture.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 Segment Information</w:t>
      </w:r>
    </w:p>
    <w:p>
      <w:pPr>
        <w:spacing w:after="0" w:line="250" w:lineRule="exact"/>
        <w:rPr>
          <w:sz w:val="20"/>
          <w:szCs w:val="20"/>
          <w:color w:val="auto"/>
        </w:rPr>
      </w:pPr>
    </w:p>
    <w:p>
      <w:pPr>
        <w:ind w:firstLine="174"/>
        <w:spacing w:after="0" w:line="215" w:lineRule="exact"/>
        <w:rPr>
          <w:sz w:val="20"/>
          <w:szCs w:val="20"/>
          <w:color w:val="auto"/>
        </w:rPr>
      </w:pPr>
      <w:r>
        <w:rPr>
          <w:rFonts w:ascii="Times New Roman" w:cs="Times New Roman" w:eastAsia="Times New Roman" w:hAnsi="Times New Roman"/>
          <w:sz w:val="18"/>
          <w:szCs w:val="18"/>
          <w:color w:val="auto"/>
        </w:rPr>
        <w:t>The Company has four operating segments which are also its reportable segments which consist of the Europe/Middle East (“EME”), North America, Latin America (“LATAM”) and Asia/Pacific/Africa (“APA”) regions. Effective January 1, 2026, the Company realigned its organizational structure to support its Farmer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First transformation initiatives in North America. As a result, the Company’s Mexico operations were transferred from the North America segment to the South America segment, which was renamed Latin America. Segment information for all prior periods presented has been retrospectively adjusted to reflect this change. The Company’s reportable segments are geography based and distribute a full range of agricultural machinery and precision agriculture technology. The Company evaluates segment performance primarily based on income from operations. Sales for each segment are based on the location of the third-party customer. The Company’s selling, general and administrative expenses and engineering expenses are charged to each segment based on the region and division where the expenses are incurred. As a result, the components of income (loss) from operations for one segment may not be comparable to another segment.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EME</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6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0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60" w:type="dxa"/>
            <w:vAlign w:val="bottom"/>
          </w:tcPr>
          <w:p>
            <w:pPr>
              <w:spacing w:after="0"/>
              <w:rPr>
                <w:sz w:val="24"/>
                <w:szCs w:val="24"/>
                <w:color w:val="auto"/>
              </w:rPr>
            </w:pPr>
          </w:p>
        </w:tc>
        <w:tc>
          <w:tcPr>
            <w:tcW w:w="1160" w:type="dxa"/>
            <w:vAlign w:val="bottom"/>
            <w:vMerge w:val="restart"/>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40"/>
        </w:trPr>
        <w:tc>
          <w:tcPr>
            <w:tcW w:w="68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left="591"/>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8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1,600.8</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0" w:type="dxa"/>
            <w:vAlign w:val="bottom"/>
          </w:tcPr>
          <w:p>
            <w:pPr>
              <w:spacing w:after="0"/>
              <w:rPr>
                <w:sz w:val="1"/>
                <w:szCs w:val="1"/>
                <w:color w:val="auto"/>
              </w:rPr>
            </w:pPr>
          </w:p>
        </w:tc>
      </w:tr>
      <w:tr>
        <w:trPr>
          <w:trHeight w:val="232"/>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40" w:firstLine="178"/>
        <w:spacing w:after="0" w:line="257" w:lineRule="auto"/>
        <w:rPr>
          <w:sz w:val="20"/>
          <w:szCs w:val="20"/>
          <w:color w:val="auto"/>
        </w:rPr>
      </w:pPr>
      <w:r>
        <w:rPr>
          <w:rFonts w:ascii="Times New Roman" w:cs="Times New Roman" w:eastAsia="Times New Roman" w:hAnsi="Times New Roman"/>
          <w:sz w:val="18"/>
          <w:szCs w:val="18"/>
          <w:color w:val="auto"/>
        </w:rPr>
        <w:t>Net sales in EME increased in the three months ended March 31, 2026 compared to the three months ended March 31, 2025, primarily due to sales volume increases, most significantly in high-horsepower tractors, and favorable foreign currency translation. Income from operations increased by $104.6 million in the three months ended March 31, 2026 compared to the three months ended March 31, 2025 as a result of higher sales, favorable product mix and production volumes.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6800" w:type="dxa"/>
            <w:vAlign w:val="bottom"/>
          </w:tcPr>
          <w:p>
            <w:pPr>
              <w:spacing w:after="0"/>
              <w:rPr>
                <w:sz w:val="24"/>
                <w:szCs w:val="24"/>
                <w:color w:val="auto"/>
              </w:rPr>
            </w:pPr>
          </w:p>
        </w:tc>
        <w:tc>
          <w:tcPr>
            <w:tcW w:w="2440" w:type="dxa"/>
            <w:vAlign w:val="bottom"/>
            <w:gridSpan w:val="4"/>
          </w:tcPr>
          <w:p>
            <w:pPr>
              <w:jc w:val="center"/>
              <w:ind w:left="411"/>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vMerge w:val="restart"/>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0" w:type="dxa"/>
            <w:vAlign w:val="bottom"/>
          </w:tcPr>
          <w:p>
            <w:pPr>
              <w:spacing w:after="0"/>
              <w:rPr>
                <w:sz w:val="1"/>
                <w:szCs w:val="1"/>
                <w:color w:val="auto"/>
              </w:rPr>
            </w:pPr>
          </w:p>
        </w:tc>
      </w:tr>
      <w:tr>
        <w:trPr>
          <w:trHeight w:val="240"/>
        </w:trPr>
        <w:tc>
          <w:tcPr>
            <w:tcW w:w="68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right="331"/>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5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8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2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406.4</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369.5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32"/>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920" w:type="dxa"/>
            <w:vAlign w:val="bottom"/>
          </w:tcPr>
          <w:p>
            <w:pPr>
              <w:spacing w:after="0"/>
              <w:rPr>
                <w:sz w:val="20"/>
                <w:szCs w:val="20"/>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(51.0)</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180" w:firstLine="178"/>
        <w:spacing w:after="0" w:line="261" w:lineRule="auto"/>
        <w:rPr>
          <w:sz w:val="20"/>
          <w:szCs w:val="20"/>
          <w:color w:val="auto"/>
        </w:rPr>
      </w:pPr>
      <w:r>
        <w:rPr>
          <w:rFonts w:ascii="Times New Roman" w:cs="Times New Roman" w:eastAsia="Times New Roman" w:hAnsi="Times New Roman"/>
          <w:sz w:val="18"/>
          <w:szCs w:val="18"/>
          <w:color w:val="auto"/>
        </w:rPr>
        <w:t>Net sales in North America increased in the three months ended March 31, 2026 compared to the three months ended March 31, 2025, primarily due to sales volume increases, most significantly in high-horsepower tractors, hay tools and sprayers. Income (loss) from operations decreased by $26.8 million in the three months ended March 31, 2026 compared to the three months ended March 31, 2025 primarily due to higher tariff-related input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LATAM</w:t>
            </w: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6780" w:type="dxa"/>
            <w:vAlign w:val="bottom"/>
          </w:tcPr>
          <w:p>
            <w:pPr>
              <w:spacing w:after="0"/>
              <w:rPr>
                <w:sz w:val="24"/>
                <w:szCs w:val="24"/>
                <w:color w:val="auto"/>
              </w:rPr>
            </w:pPr>
          </w:p>
        </w:tc>
        <w:tc>
          <w:tcPr>
            <w:tcW w:w="2440" w:type="dxa"/>
            <w:vAlign w:val="bottom"/>
            <w:gridSpan w:val="4"/>
          </w:tcPr>
          <w:p>
            <w:pPr>
              <w:jc w:val="center"/>
              <w:ind w:left="411"/>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vMerge w:val="restart"/>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40"/>
        </w:trPr>
        <w:tc>
          <w:tcPr>
            <w:tcW w:w="67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right="331"/>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7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2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211.7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32"/>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920" w:type="dxa"/>
            <w:vAlign w:val="bottom"/>
          </w:tcPr>
          <w:p>
            <w:pPr>
              <w:spacing w:after="0"/>
              <w:rPr>
                <w:sz w:val="20"/>
                <w:szCs w:val="20"/>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80" w:firstLine="178"/>
        <w:spacing w:after="0" w:line="257" w:lineRule="auto"/>
        <w:rPr>
          <w:sz w:val="20"/>
          <w:szCs w:val="20"/>
          <w:color w:val="auto"/>
        </w:rPr>
      </w:pPr>
      <w:r>
        <w:rPr>
          <w:rFonts w:ascii="Times New Roman" w:cs="Times New Roman" w:eastAsia="Times New Roman" w:hAnsi="Times New Roman"/>
          <w:sz w:val="18"/>
          <w:szCs w:val="18"/>
          <w:color w:val="auto"/>
        </w:rPr>
        <w:t>Net sales decreased in LATAM in the three months ended March 31, 2026 compared to the three months ended March 31, 2025, primarily due to sales volume declines, most significantly in tractors and combines, and negative pricing impacts, partially offset by favorable foreign currency translation. Income (loss) from operations decreased $47.4 million in the three months ended March 31, 2026 compared to the three months ended March 31, 2025, as a result of lower sales and negative pricing impacts.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APA</w:t>
            </w: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6780" w:type="dxa"/>
            <w:vAlign w:val="bottom"/>
          </w:tcPr>
          <w:p>
            <w:pPr>
              <w:spacing w:after="0"/>
              <w:rPr>
                <w:sz w:val="24"/>
                <w:szCs w:val="24"/>
                <w:color w:val="auto"/>
              </w:rPr>
            </w:pPr>
          </w:p>
        </w:tc>
        <w:tc>
          <w:tcPr>
            <w:tcW w:w="2480" w:type="dxa"/>
            <w:vAlign w:val="bottom"/>
            <w:gridSpan w:val="4"/>
          </w:tcPr>
          <w:p>
            <w:pPr>
              <w:jc w:val="center"/>
              <w:ind w:left="371"/>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vMerge w:val="restart"/>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40"/>
        </w:trPr>
        <w:tc>
          <w:tcPr>
            <w:tcW w:w="67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right="371"/>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7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2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1"/>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32"/>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9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(2.7)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80" w:firstLine="178"/>
        <w:spacing w:after="0" w:line="257" w:lineRule="auto"/>
        <w:rPr>
          <w:sz w:val="20"/>
          <w:szCs w:val="20"/>
          <w:color w:val="auto"/>
        </w:rPr>
      </w:pPr>
      <w:r>
        <w:rPr>
          <w:rFonts w:ascii="Times New Roman" w:cs="Times New Roman" w:eastAsia="Times New Roman" w:hAnsi="Times New Roman"/>
          <w:sz w:val="18"/>
          <w:szCs w:val="18"/>
          <w:color w:val="auto"/>
        </w:rPr>
        <w:t>Net sales increased in APA in the three months ended March 31, 2026 compared to the three months ended March 31, 2025, primarily due to sales volume increases, most significantly in high-horsepower tractors and combines, and favorable foreign currency translation. Income (loss) from operations increased $6.7 million in the three months ended March 31, 2026 compared to the three months ended March 31, 2025, primarily due to higher sales and production volumes.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8" w:lineRule="exact"/>
        <w:rPr>
          <w:sz w:val="20"/>
          <w:szCs w:val="20"/>
          <w:color w:val="auto"/>
        </w:rPr>
      </w:pPr>
    </w:p>
    <w:p>
      <w:pPr>
        <w:ind w:right="60" w:firstLine="178"/>
        <w:spacing w:after="0" w:line="254" w:lineRule="auto"/>
        <w:rPr>
          <w:sz w:val="20"/>
          <w:szCs w:val="20"/>
          <w:color w:val="auto"/>
        </w:rPr>
      </w:pPr>
      <w:r>
        <w:rPr>
          <w:rFonts w:ascii="Times New Roman" w:cs="Times New Roman" w:eastAsia="Times New Roman" w:hAnsi="Times New Roman"/>
          <w:sz w:val="18"/>
          <w:szCs w:val="18"/>
          <w:color w:val="auto"/>
        </w:rPr>
        <w:t xml:space="preserve">Our financing requirements generally are subject to variations due to seasonal changes in inventory and receivable levels. Internally generated funds are supplemented when necessary from external sources, primarily our credit facilities and accounts receivable sales agreement facilities. Additional information regarding our indebtedness is contained in </w:t>
      </w:r>
      <w:r>
        <w:rPr>
          <w:rFonts w:ascii="Times New Roman" w:cs="Times New Roman" w:eastAsia="Times New Roman" w:hAnsi="Times New Roman"/>
          <w:sz w:val="18"/>
          <w:szCs w:val="18"/>
          <w:u w:val="single" w:color="auto"/>
          <w:color w:val="0000FF"/>
        </w:rPr>
        <w:t>Note 7</w:t>
      </w:r>
      <w:r>
        <w:rPr>
          <w:rFonts w:ascii="Times New Roman" w:cs="Times New Roman" w:eastAsia="Times New Roman" w:hAnsi="Times New Roman"/>
          <w:sz w:val="18"/>
          <w:szCs w:val="18"/>
          <w:color w:val="auto"/>
        </w:rPr>
        <w:t xml:space="preserve"> to the Condensed Consolidated Financial Statements. We believe that the borrowings and facilities listed below, together with available cash and internally generated funds, and assuming customary renewals and replacements, will be sufficient to support our working capital, capital expenditures and debt service requirements for the foreseeable future (in millions):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March 31, 2026</w:t>
            </w:r>
            <w:r>
              <w:rPr>
                <w:rFonts w:ascii="Times New Roman" w:cs="Times New Roman" w:eastAsia="Times New Roman" w:hAnsi="Times New Roman"/>
                <w:sz w:val="9"/>
                <w:szCs w:val="9"/>
                <w:b w:val="1"/>
                <w:bCs w:val="1"/>
                <w:color w:val="auto"/>
              </w:rPr>
              <w:t>(1)</w:t>
            </w:r>
          </w:p>
        </w:tc>
      </w:tr>
      <w:tr>
        <w:trPr>
          <w:trHeight w:val="220"/>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facility, expires 2027</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227"/>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5.450% Senior notes due 2027</w:t>
            </w: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r>
      <w:tr>
        <w:trPr>
          <w:trHeight w:val="227"/>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5.800% Senior notes due 2034</w:t>
            </w:r>
          </w:p>
        </w:tc>
        <w:tc>
          <w:tcPr>
            <w:tcW w:w="2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r>
      <w:tr>
        <w:trPr>
          <w:trHeight w:val="227"/>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0.800% Senior notes due 2028</w:t>
            </w: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691.8</w:t>
            </w:r>
          </w:p>
        </w:tc>
      </w:tr>
      <w:tr>
        <w:trPr>
          <w:trHeight w:val="227"/>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EIB Senior term loan due 2029</w:t>
            </w:r>
          </w:p>
        </w:tc>
        <w:tc>
          <w:tcPr>
            <w:tcW w:w="2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w:t>
            </w:r>
          </w:p>
        </w:tc>
      </w:tr>
      <w:tr>
        <w:trPr>
          <w:trHeight w:val="227"/>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EIB Senior term loan due 2030</w:t>
            </w: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w:t>
            </w:r>
          </w:p>
        </w:tc>
      </w:tr>
      <w:tr>
        <w:trPr>
          <w:trHeight w:val="227"/>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term loans due between 2026 and 2028</w:t>
            </w:r>
          </w:p>
        </w:tc>
        <w:tc>
          <w:tcPr>
            <w:tcW w:w="2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39" w:lineRule="exact"/>
        <w:rPr>
          <w:sz w:val="20"/>
          <w:szCs w:val="20"/>
          <w:color w:val="auto"/>
        </w:rPr>
      </w:pPr>
    </w:p>
    <w:p>
      <w:pPr>
        <w:ind w:left="340" w:hanging="253"/>
        <w:spacing w:after="0"/>
        <w:tabs>
          <w:tab w:leader="none" w:pos="340" w:val="left"/>
        </w:tabs>
        <w:numPr>
          <w:ilvl w:val="0"/>
          <w:numId w:val="1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amounts above are gross of debt issuance costs of an aggregate amount of approximately $9.1 million.</w:t>
      </w:r>
    </w:p>
    <w:p>
      <w:pPr>
        <w:spacing w:after="0" w:line="256" w:lineRule="exact"/>
        <w:rPr>
          <w:sz w:val="20"/>
          <w:szCs w:val="20"/>
          <w:color w:val="auto"/>
        </w:rPr>
      </w:pPr>
    </w:p>
    <w:p>
      <w:pPr>
        <w:ind w:right="60" w:firstLine="174"/>
        <w:spacing w:after="0" w:line="261" w:lineRule="auto"/>
        <w:rPr>
          <w:sz w:val="20"/>
          <w:szCs w:val="20"/>
          <w:color w:val="auto"/>
        </w:rPr>
      </w:pPr>
      <w:r>
        <w:rPr>
          <w:rFonts w:ascii="Times New Roman" w:cs="Times New Roman" w:eastAsia="Times New Roman" w:hAnsi="Times New Roman"/>
          <w:sz w:val="18"/>
          <w:szCs w:val="18"/>
          <w:color w:val="auto"/>
        </w:rPr>
        <w:t>The Company has a credit facility providing for a $1.25 billion multi-currency unsecured revolving credit facility (“Credit Facility”) that matures on December 19, 2027. As of March 31, 2026, the Company had $115.0 million in outstanding borrowings under the revolving credit facility and had the ability to borrow $1,135.0 million.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67" w:lineRule="exact"/>
        <w:rPr>
          <w:sz w:val="20"/>
          <w:szCs w:val="20"/>
          <w:color w:val="auto"/>
        </w:rPr>
      </w:pPr>
    </w:p>
    <w:p>
      <w:pPr>
        <w:jc w:val="both"/>
        <w:ind w:right="120" w:firstLine="178"/>
        <w:spacing w:after="0" w:line="261" w:lineRule="auto"/>
        <w:rPr>
          <w:sz w:val="20"/>
          <w:szCs w:val="20"/>
          <w:color w:val="auto"/>
        </w:rPr>
      </w:pPr>
      <w:r>
        <w:rPr>
          <w:rFonts w:ascii="Times New Roman" w:cs="Times New Roman" w:eastAsia="Times New Roman" w:hAnsi="Times New Roman"/>
          <w:sz w:val="18"/>
          <w:szCs w:val="18"/>
          <w:color w:val="auto"/>
        </w:rPr>
        <w:t>In addition, the Company has an uncommitted revolving credit facility that allows the Company to borrow up to €200.0 million (or approximately $230.6 million as of March 31, 2026). The credit facility expires on December 31, 2026. As of March 31, 2026, the Company had no outstanding borrowings under the revolving credit facility.</w:t>
      </w:r>
    </w:p>
    <w:p>
      <w:pPr>
        <w:spacing w:after="0" w:line="204" w:lineRule="exact"/>
        <w:rPr>
          <w:sz w:val="20"/>
          <w:szCs w:val="20"/>
          <w:color w:val="auto"/>
        </w:rPr>
      </w:pPr>
    </w:p>
    <w:p>
      <w:pPr>
        <w:ind w:firstLine="168"/>
        <w:spacing w:after="0" w:line="257" w:lineRule="auto"/>
        <w:rPr>
          <w:sz w:val="20"/>
          <w:szCs w:val="20"/>
          <w:color w:val="auto"/>
        </w:rPr>
      </w:pPr>
      <w:r>
        <w:rPr>
          <w:rFonts w:ascii="Times New Roman" w:cs="Times New Roman" w:eastAsia="Times New Roman" w:hAnsi="Times New Roman"/>
          <w:sz w:val="18"/>
          <w:szCs w:val="18"/>
          <w:color w:val="auto"/>
        </w:rPr>
        <w:t>AGCO Finance equity joint ventures offer both retail financing and wholesale financing to our dealers in the U.S., Canada, Europe, Brazil, Argentina, and Australia. These joint ventures are structured with AGCO holding a 49% ownership interest, with the remaining interest owned by a wholly owned subsidiary of Rabobank. The Company continually evaluates opportunities to optimize regulatory capital efficiency and capital deployment, while strengthening its strategic partnership with Rabobank and its commitment to providing competitive financing solutions to farmers and dealers.</w:t>
      </w:r>
    </w:p>
    <w:p>
      <w:pPr>
        <w:spacing w:after="0" w:line="206" w:lineRule="exact"/>
        <w:rPr>
          <w:sz w:val="20"/>
          <w:szCs w:val="20"/>
          <w:color w:val="auto"/>
        </w:rPr>
      </w:pPr>
    </w:p>
    <w:p>
      <w:pPr>
        <w:ind w:right="60" w:firstLine="174"/>
        <w:spacing w:after="0" w:line="215" w:lineRule="exact"/>
        <w:rPr>
          <w:sz w:val="20"/>
          <w:szCs w:val="20"/>
          <w:color w:val="auto"/>
        </w:rPr>
      </w:pPr>
      <w:r>
        <w:rPr>
          <w:rFonts w:ascii="Times New Roman" w:cs="Times New Roman" w:eastAsia="Times New Roman" w:hAnsi="Times New Roman"/>
          <w:sz w:val="18"/>
          <w:szCs w:val="18"/>
          <w:color w:val="auto"/>
        </w:rPr>
        <w:t>To better align with evolving market dynamics and increasing regulatory and compliance requirements, on April 30, 2026, the Company executed an Interests Purchase Agreement and Share Purchase Agreement (collectively the “Agreements”) with wholly owned subsidiaries of Rabobank to sell its 49% equity interests in the joint ventures in the U.S. and Canada, AGCO Finance LLC and AGCO Finance Canada, Ltd., respectively, for aggregate consideration of approximately $190.0 million. The proceeds will be used as a source of funding for share repurchases. In connection with the Agreements, the Company entered into Financing Framework Agreements with wholly owned subsidiaries of Rabobank, which establish the commercial terms governing the future provision of financing solutions to dealers and farmers for those markets. The Company will continue to evaluate similar agreements in respect of other joint ventures with wholly owned subsidiaries of Rabobank in the future. This structural evolution strengthens the Company’s Farmer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First strategy, ensures continued access to competitive financing offerings, and allows AGCO and Rabobank and its subsidiaries to more effectively address increasing regulatory and compliance requirements.</w:t>
      </w:r>
    </w:p>
    <w:p>
      <w:pPr>
        <w:spacing w:after="0" w:line="226" w:lineRule="exact"/>
        <w:rPr>
          <w:sz w:val="20"/>
          <w:szCs w:val="20"/>
          <w:color w:val="auto"/>
        </w:rPr>
      </w:pPr>
    </w:p>
    <w:p>
      <w:pPr>
        <w:ind w:right="240" w:firstLine="174"/>
        <w:spacing w:after="0" w:line="276" w:lineRule="auto"/>
        <w:rPr>
          <w:sz w:val="20"/>
          <w:szCs w:val="20"/>
          <w:color w:val="auto"/>
        </w:rPr>
      </w:pPr>
      <w:r>
        <w:rPr>
          <w:rFonts w:ascii="Times New Roman" w:cs="Times New Roman" w:eastAsia="Times New Roman" w:hAnsi="Times New Roman"/>
          <w:sz w:val="18"/>
          <w:szCs w:val="18"/>
          <w:color w:val="auto"/>
        </w:rPr>
        <w:t>The Company had redeemable noncontrolling interests of $295.5 million as of March 31, 2026 resulting from the PTx Trimble joint venture transaction, which may require the use of cash in certain instances, beginning in 2027.</w:t>
      </w:r>
    </w:p>
    <w:p>
      <w:pPr>
        <w:spacing w:after="0" w:line="190" w:lineRule="exact"/>
        <w:rPr>
          <w:sz w:val="20"/>
          <w:szCs w:val="20"/>
          <w:color w:val="auto"/>
        </w:rPr>
      </w:pPr>
    </w:p>
    <w:p>
      <w:pPr>
        <w:jc w:val="both"/>
        <w:ind w:right="180" w:firstLine="174"/>
        <w:spacing w:after="0" w:line="306" w:lineRule="auto"/>
        <w:rPr>
          <w:sz w:val="20"/>
          <w:szCs w:val="20"/>
          <w:color w:val="auto"/>
        </w:rPr>
      </w:pPr>
      <w:r>
        <w:rPr>
          <w:rFonts w:ascii="Times New Roman" w:cs="Times New Roman" w:eastAsia="Times New Roman" w:hAnsi="Times New Roman"/>
          <w:sz w:val="17"/>
          <w:szCs w:val="17"/>
          <w:color w:val="auto"/>
        </w:rPr>
        <w:t>The Company is in compliance with the financial covenants contained in these facilities and expects to continue to maintain such compliance. Should we ever encounter difficulties, our historical relationship with our lenders has been strong, and we anticipate their continued long-term support of our business.</w:t>
      </w:r>
    </w:p>
    <w:p>
      <w:pPr>
        <w:spacing w:after="0" w:line="168" w:lineRule="exact"/>
        <w:rPr>
          <w:sz w:val="20"/>
          <w:szCs w:val="20"/>
          <w:color w:val="auto"/>
        </w:rPr>
      </w:pPr>
    </w:p>
    <w:p>
      <w:pPr>
        <w:ind w:right="40" w:firstLine="178"/>
        <w:spacing w:after="0" w:line="276" w:lineRule="auto"/>
        <w:rPr>
          <w:sz w:val="20"/>
          <w:szCs w:val="20"/>
          <w:color w:val="auto"/>
        </w:rPr>
      </w:pPr>
      <w:r>
        <w:rPr>
          <w:rFonts w:ascii="Times New Roman" w:cs="Times New Roman" w:eastAsia="Times New Roman" w:hAnsi="Times New Roman"/>
          <w:sz w:val="18"/>
          <w:szCs w:val="18"/>
          <w:color w:val="auto"/>
        </w:rPr>
        <w:t>Our debt to capitalization ratio, which is total indebtedness divided by the sum of total indebtedness, excluding short-term borrowings due within one year, and stockholders’ equity, was 36.6% and 35.8% at March 31, 2026 and December 31, 2025,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Guarantor Financial Information</w:t>
      </w:r>
    </w:p>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On March 21, 2024, the Company issued (i) $400.0 million aggregate principal amount of 5.450% Senior Notes due 2027 (the “2027 Notes”) and (ii)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$700.0 million aggregate principal amount of 5.800% Senior Notes due 2034 (the “2034 Notes”, and together with the 2027 Notes, the “Notes”). The 2027</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and the 2034 Notes are unsecured and unsubordinated indebtedness of the Company and are guaranteed on a senior unsecured basis, jointly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severally, by AGCO International Holdings B.V., AGCO International GmbH and Massey Ferguson Corp., direct and indirect subsidiaries of the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(collectively, the “Guarantors”).</w:t>
      </w:r>
    </w:p>
    <w:p>
      <w:pPr>
        <w:spacing w:after="0" w:line="227" w:lineRule="exact"/>
        <w:rPr>
          <w:sz w:val="20"/>
          <w:szCs w:val="20"/>
          <w:color w:val="auto"/>
        </w:rPr>
      </w:pPr>
    </w:p>
    <w:p>
      <w:pPr>
        <w:ind w:right="120" w:firstLine="174"/>
        <w:spacing w:after="0" w:line="253" w:lineRule="auto"/>
        <w:rPr>
          <w:sz w:val="20"/>
          <w:szCs w:val="20"/>
          <w:color w:val="auto"/>
        </w:rPr>
      </w:pPr>
      <w:r>
        <w:rPr>
          <w:rFonts w:ascii="Times New Roman" w:cs="Times New Roman" w:eastAsia="Times New Roman" w:hAnsi="Times New Roman"/>
          <w:sz w:val="18"/>
          <w:szCs w:val="18"/>
          <w:color w:val="auto"/>
        </w:rPr>
        <w:t>The following tables present summarized financial information of AGCO Corporation, as the issuer of the 2027 Notes and the 2034 Notes, and the Guarantors on a combined basis after elimination of intercompany transactions and balances within the Guarantors and equity in the earnings from and investments in any non-guarantor subsidiary. As used herein, “obligor group” means AGCO Corporation, as the issuer of the debt securities, and the Guarantors on a combined basis. The summarized financial information is provided in accordance with the reporting requirements of Rule 13-01 under SEC Regulation S-X for the obligor group and is not intended to present the financial position or results of operations of the obligor group in accordance with generally accepted accounting principles as such principles are in effect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Balance Sheet Information</w:t>
            </w:r>
          </w:p>
        </w:tc>
        <w:tc>
          <w:tcPr>
            <w:tcW w:w="1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92"/>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80" w:type="dxa"/>
            <w:vAlign w:val="bottom"/>
          </w:tcPr>
          <w:p>
            <w:pPr>
              <w:spacing w:after="0"/>
              <w:rPr>
                <w:sz w:val="24"/>
                <w:szCs w:val="24"/>
                <w:color w:val="auto"/>
              </w:rPr>
            </w:pPr>
          </w:p>
        </w:tc>
        <w:tc>
          <w:tcPr>
            <w:tcW w:w="19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r>
      <w:tr>
        <w:trPr>
          <w:trHeight w:val="220"/>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r>
              <w:rPr>
                <w:rFonts w:ascii="Times New Roman" w:cs="Times New Roman" w:eastAsia="Times New Roman" w:hAnsi="Times New Roman"/>
                <w:sz w:val="9"/>
                <w:szCs w:val="9"/>
                <w:color w:val="auto"/>
              </w:rPr>
              <w:t>(a)</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4,413.2</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9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4,771.1</w:t>
            </w:r>
          </w:p>
        </w:tc>
      </w:tr>
      <w:tr>
        <w:trPr>
          <w:trHeight w:val="22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r>
              <w:rPr>
                <w:rFonts w:ascii="Times New Roman" w:cs="Times New Roman" w:eastAsia="Times New Roman" w:hAnsi="Times New Roman"/>
                <w:sz w:val="9"/>
                <w:szCs w:val="9"/>
                <w:color w:val="auto"/>
              </w:rPr>
              <w:t>(b)</w:t>
            </w: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1,748.8</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1,575.9</w:t>
            </w:r>
          </w:p>
        </w:tc>
      </w:tr>
      <w:tr>
        <w:trPr>
          <w:trHeight w:val="22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r>
              <w:rPr>
                <w:rFonts w:ascii="Times New Roman" w:cs="Times New Roman" w:eastAsia="Times New Roman" w:hAnsi="Times New Roman"/>
                <w:sz w:val="9"/>
                <w:szCs w:val="9"/>
                <w:color w:val="auto"/>
              </w:rPr>
              <w:t>(c)</w:t>
            </w: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3,988.6</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4,155.6</w:t>
            </w:r>
          </w:p>
        </w:tc>
      </w:tr>
      <w:tr>
        <w:trPr>
          <w:trHeight w:val="232"/>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r>
              <w:rPr>
                <w:rFonts w:ascii="Times New Roman" w:cs="Times New Roman" w:eastAsia="Times New Roman" w:hAnsi="Times New Roman"/>
                <w:sz w:val="9"/>
                <w:szCs w:val="9"/>
                <w:color w:val="auto"/>
              </w:rPr>
              <w:t>(d)</w:t>
            </w:r>
          </w:p>
        </w:tc>
        <w:tc>
          <w:tcPr>
            <w:tcW w:w="18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4,107.2</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4,192.5</w:t>
            </w: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17" w:lineRule="exact"/>
        <w:rPr>
          <w:sz w:val="20"/>
          <w:szCs w:val="20"/>
          <w:color w:val="auto"/>
        </w:rPr>
      </w:pPr>
    </w:p>
    <w:p>
      <w:pPr>
        <w:ind w:left="340" w:hanging="253"/>
        <w:spacing w:after="0"/>
        <w:tabs>
          <w:tab w:leader="none" w:pos="340"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amounts due from non-guarantor subsidiaries of $2,303.1 million and $2,628.9 million as of March 31, 2026 and December 31, 2025, respectively.</w:t>
      </w:r>
    </w:p>
    <w:p>
      <w:pPr>
        <w:spacing w:after="0" w:line="44" w:lineRule="exact"/>
        <w:rPr>
          <w:rFonts w:ascii="Times New Roman" w:cs="Times New Roman" w:eastAsia="Times New Roman" w:hAnsi="Times New Roman"/>
          <w:sz w:val="18"/>
          <w:szCs w:val="18"/>
          <w:color w:val="auto"/>
          <w:vertAlign w:val="superscript"/>
        </w:rPr>
      </w:pPr>
    </w:p>
    <w:p>
      <w:pPr>
        <w:ind w:left="340" w:hanging="253"/>
        <w:spacing w:after="0" w:line="195" w:lineRule="auto"/>
        <w:tabs>
          <w:tab w:leader="none" w:pos="340"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amounts due from non-guarantor subsidiaries of $283.5 million and $108.2 million as of March 31, 2026 and December 31, 2025, respectively.</w:t>
      </w:r>
    </w:p>
    <w:p>
      <w:pPr>
        <w:spacing w:after="0" w:line="31" w:lineRule="exact"/>
        <w:rPr>
          <w:rFonts w:ascii="Times New Roman" w:cs="Times New Roman" w:eastAsia="Times New Roman" w:hAnsi="Times New Roman"/>
          <w:sz w:val="18"/>
          <w:szCs w:val="18"/>
          <w:color w:val="auto"/>
          <w:vertAlign w:val="superscript"/>
        </w:rPr>
      </w:pPr>
    </w:p>
    <w:p>
      <w:pPr>
        <w:ind w:left="340" w:hanging="253"/>
        <w:spacing w:after="0" w:line="195" w:lineRule="auto"/>
        <w:tabs>
          <w:tab w:leader="none" w:pos="340"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amounts due to non-guarantor subsidiaries of $1,983.7 million and $2,557.6 million as of March 31, 2026 and December 31, 2025, respectively.</w:t>
      </w:r>
    </w:p>
    <w:p>
      <w:pPr>
        <w:spacing w:after="0" w:line="31" w:lineRule="exact"/>
        <w:rPr>
          <w:rFonts w:ascii="Times New Roman" w:cs="Times New Roman" w:eastAsia="Times New Roman" w:hAnsi="Times New Roman"/>
          <w:sz w:val="18"/>
          <w:szCs w:val="18"/>
          <w:color w:val="auto"/>
          <w:vertAlign w:val="superscript"/>
        </w:rPr>
      </w:pPr>
    </w:p>
    <w:p>
      <w:pPr>
        <w:ind w:left="340" w:hanging="253"/>
        <w:spacing w:after="0"/>
        <w:tabs>
          <w:tab w:leader="none" w:pos="340" w:val="left"/>
        </w:tabs>
        <w:numPr>
          <w:ilvl w:val="0"/>
          <w:numId w:val="1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amounts due to non-guarantor subsidiaries of $1,775.6 million and $1,556.0 million as of March 31, 2026 and December 31, 2025, respectively.</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Statement of Operations Information</w:t>
            </w:r>
          </w:p>
        </w:tc>
        <w:tc>
          <w:tcPr>
            <w:tcW w:w="1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9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60" w:type="dxa"/>
            <w:vAlign w:val="bottom"/>
          </w:tcPr>
          <w:p>
            <w:pPr>
              <w:spacing w:after="0"/>
              <w:rPr>
                <w:sz w:val="24"/>
                <w:szCs w:val="24"/>
                <w:color w:val="auto"/>
              </w:rPr>
            </w:pPr>
          </w:p>
        </w:tc>
        <w:tc>
          <w:tcPr>
            <w:tcW w:w="188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34"/>
        </w:trPr>
        <w:tc>
          <w:tcPr>
            <w:tcW w:w="920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0" w:type="dxa"/>
            <w:vAlign w:val="bottom"/>
          </w:tcPr>
          <w:p>
            <w:pPr>
              <w:spacing w:after="0"/>
              <w:rPr>
                <w:sz w:val="1"/>
                <w:szCs w:val="1"/>
                <w:color w:val="auto"/>
              </w:rPr>
            </w:pPr>
          </w:p>
        </w:tc>
      </w:tr>
      <w:tr>
        <w:trPr>
          <w:trHeight w:val="220"/>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r>
              <w:rPr>
                <w:rFonts w:ascii="Times New Roman" w:cs="Times New Roman" w:eastAsia="Times New Roman" w:hAnsi="Times New Roman"/>
                <w:sz w:val="9"/>
                <w:szCs w:val="9"/>
                <w:color w:val="auto"/>
              </w:rPr>
              <w:t>(a)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1,834.1</w:t>
            </w:r>
          </w:p>
        </w:tc>
        <w:tc>
          <w:tcPr>
            <w:tcW w:w="0" w:type="dxa"/>
            <w:vAlign w:val="bottom"/>
          </w:tcPr>
          <w:p>
            <w:pPr>
              <w:spacing w:after="0"/>
              <w:rPr>
                <w:sz w:val="1"/>
                <w:szCs w:val="1"/>
                <w:color w:val="auto"/>
              </w:rPr>
            </w:pPr>
          </w:p>
        </w:tc>
      </w:tr>
      <w:tr>
        <w:trPr>
          <w:trHeight w:val="227"/>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0" w:type="dxa"/>
            <w:vAlign w:val="bottom"/>
          </w:tcPr>
          <w:p>
            <w:pPr>
              <w:spacing w:after="0"/>
              <w:rPr>
                <w:sz w:val="1"/>
                <w:szCs w:val="1"/>
                <w:color w:val="auto"/>
              </w:rPr>
            </w:pPr>
          </w:p>
        </w:tc>
      </w:tr>
      <w:tr>
        <w:trPr>
          <w:trHeight w:val="227"/>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32"/>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obligor group</w:t>
            </w:r>
          </w:p>
        </w:tc>
        <w:tc>
          <w:tcPr>
            <w:tcW w:w="16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39" w:lineRule="exact"/>
        <w:rPr>
          <w:sz w:val="20"/>
          <w:szCs w:val="20"/>
          <w:color w:val="auto"/>
        </w:rPr>
      </w:pPr>
    </w:p>
    <w:p>
      <w:pPr>
        <w:ind w:left="340" w:hanging="253"/>
        <w:spacing w:after="0"/>
        <w:tabs>
          <w:tab w:leader="none" w:pos="340" w:val="left"/>
        </w:tabs>
        <w:numPr>
          <w:ilvl w:val="0"/>
          <w:numId w:val="1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intercompany revenues generated from non-guarantor subsidiaries of $1,246.0 million.</w:t>
      </w:r>
    </w:p>
    <w:p>
      <w:pPr>
        <w:spacing w:after="0" w:line="256" w:lineRule="exact"/>
        <w:rPr>
          <w:sz w:val="20"/>
          <w:szCs w:val="20"/>
          <w:color w:val="auto"/>
        </w:rPr>
      </w:pPr>
    </w:p>
    <w:p>
      <w:pPr>
        <w:ind w:right="20" w:firstLine="174"/>
        <w:spacing w:after="0" w:line="276" w:lineRule="auto"/>
        <w:rPr>
          <w:sz w:val="20"/>
          <w:szCs w:val="20"/>
          <w:color w:val="auto"/>
        </w:rPr>
      </w:pPr>
      <w:r>
        <w:rPr>
          <w:rFonts w:ascii="Times New Roman" w:cs="Times New Roman" w:eastAsia="Times New Roman" w:hAnsi="Times New Roman"/>
          <w:sz w:val="18"/>
          <w:szCs w:val="18"/>
          <w:color w:val="auto"/>
        </w:rPr>
        <w:t>The following tables present summarized financial information of AGCO International GmbH, after elimination of intercompany transactions and balances within the Guarantors and equity in the earnings from and investments in any non-guarantor subsidiary.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Balance Sheet Information</w:t>
            </w:r>
          </w:p>
        </w:tc>
        <w:tc>
          <w:tcPr>
            <w:tcW w:w="1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92"/>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80" w:type="dxa"/>
            <w:vAlign w:val="bottom"/>
          </w:tcPr>
          <w:p>
            <w:pPr>
              <w:spacing w:after="0"/>
              <w:rPr>
                <w:sz w:val="24"/>
                <w:szCs w:val="24"/>
                <w:color w:val="auto"/>
              </w:rPr>
            </w:pPr>
          </w:p>
        </w:tc>
        <w:tc>
          <w:tcPr>
            <w:tcW w:w="19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r>
      <w:tr>
        <w:trPr>
          <w:trHeight w:val="220"/>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r>
              <w:rPr>
                <w:rFonts w:ascii="Times New Roman" w:cs="Times New Roman" w:eastAsia="Times New Roman" w:hAnsi="Times New Roman"/>
                <w:sz w:val="9"/>
                <w:szCs w:val="9"/>
                <w:color w:val="auto"/>
              </w:rPr>
              <w:t>(a)</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3,216.4</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9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3,661.3</w:t>
            </w:r>
          </w:p>
        </w:tc>
      </w:tr>
      <w:tr>
        <w:trPr>
          <w:trHeight w:val="22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r>
              <w:rPr>
                <w:rFonts w:ascii="Times New Roman" w:cs="Times New Roman" w:eastAsia="Times New Roman" w:hAnsi="Times New Roman"/>
                <w:sz w:val="9"/>
                <w:szCs w:val="9"/>
                <w:color w:val="auto"/>
              </w:rPr>
              <w:t>(b)</w:t>
            </w: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553.2</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371.8</w:t>
            </w:r>
          </w:p>
        </w:tc>
      </w:tr>
      <w:tr>
        <w:trPr>
          <w:trHeight w:val="22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r>
              <w:rPr>
                <w:rFonts w:ascii="Times New Roman" w:cs="Times New Roman" w:eastAsia="Times New Roman" w:hAnsi="Times New Roman"/>
                <w:sz w:val="9"/>
                <w:szCs w:val="9"/>
                <w:color w:val="auto"/>
              </w:rPr>
              <w:t>(c)</w:t>
            </w: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2,737.6</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3,281.7</w:t>
            </w:r>
          </w:p>
        </w:tc>
      </w:tr>
      <w:tr>
        <w:trPr>
          <w:trHeight w:val="232"/>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r>
              <w:rPr>
                <w:rFonts w:ascii="Times New Roman" w:cs="Times New Roman" w:eastAsia="Times New Roman" w:hAnsi="Times New Roman"/>
                <w:sz w:val="9"/>
                <w:szCs w:val="9"/>
                <w:color w:val="auto"/>
              </w:rPr>
              <w:t>(d)</w:t>
            </w:r>
          </w:p>
        </w:tc>
        <w:tc>
          <w:tcPr>
            <w:tcW w:w="18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1,838.6</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1,619.0</w:t>
            </w: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39" w:lineRule="exact"/>
        <w:rPr>
          <w:sz w:val="20"/>
          <w:szCs w:val="20"/>
          <w:color w:val="auto"/>
        </w:rPr>
      </w:pPr>
    </w:p>
    <w:p>
      <w:pPr>
        <w:ind w:left="340" w:hanging="253"/>
        <w:spacing w:after="0"/>
        <w:tabs>
          <w:tab w:leader="none" w:pos="340" w:val="left"/>
        </w:tabs>
        <w:numPr>
          <w:ilvl w:val="0"/>
          <w:numId w:val="1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amounts due from non-guarantor subsidiaries of $1,894.7 million and $2,329.1 million as of March 31, 2026 and December 31, 2025, respectively.</w:t>
      </w:r>
    </w:p>
    <w:p>
      <w:pPr>
        <w:spacing w:after="0" w:line="29" w:lineRule="exact"/>
        <w:rPr>
          <w:rFonts w:ascii="Times New Roman" w:cs="Times New Roman" w:eastAsia="Times New Roman" w:hAnsi="Times New Roman"/>
          <w:sz w:val="9"/>
          <w:szCs w:val="9"/>
          <w:color w:val="auto"/>
        </w:rPr>
      </w:pPr>
    </w:p>
    <w:p>
      <w:pPr>
        <w:ind w:left="340" w:hanging="253"/>
        <w:spacing w:after="0"/>
        <w:tabs>
          <w:tab w:leader="none" w:pos="340" w:val="left"/>
        </w:tabs>
        <w:numPr>
          <w:ilvl w:val="0"/>
          <w:numId w:val="1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amounts due from non-guarantor subsidiaries of $277.9 million and $102.6 million as of March 31, 2026 and December 31, 2025, respectively.</w:t>
      </w:r>
    </w:p>
    <w:p>
      <w:pPr>
        <w:spacing w:after="0" w:line="31" w:lineRule="exact"/>
        <w:rPr>
          <w:rFonts w:ascii="Times New Roman" w:cs="Times New Roman" w:eastAsia="Times New Roman" w:hAnsi="Times New Roman"/>
          <w:sz w:val="18"/>
          <w:szCs w:val="18"/>
          <w:color w:val="auto"/>
          <w:vertAlign w:val="superscript"/>
        </w:rPr>
      </w:pPr>
    </w:p>
    <w:p>
      <w:pPr>
        <w:ind w:left="340" w:hanging="253"/>
        <w:spacing w:after="0" w:line="195" w:lineRule="auto"/>
        <w:tabs>
          <w:tab w:leader="none" w:pos="340" w:val="left"/>
        </w:tabs>
        <w:numPr>
          <w:ilvl w:val="0"/>
          <w:numId w:val="1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amounts due to non-guarantor subsidiaries of $1,786.4 million and $2,368.1 million as of March 31, 2026 and December 31, 2025, respectively.</w:t>
      </w:r>
    </w:p>
    <w:p>
      <w:pPr>
        <w:spacing w:after="0" w:line="45" w:lineRule="exact"/>
        <w:rPr>
          <w:rFonts w:ascii="Times New Roman" w:cs="Times New Roman" w:eastAsia="Times New Roman" w:hAnsi="Times New Roman"/>
          <w:sz w:val="18"/>
          <w:szCs w:val="18"/>
          <w:color w:val="auto"/>
          <w:vertAlign w:val="superscript"/>
        </w:rPr>
      </w:pPr>
    </w:p>
    <w:p>
      <w:pPr>
        <w:ind w:left="340" w:hanging="253"/>
        <w:spacing w:after="0" w:line="195" w:lineRule="auto"/>
        <w:tabs>
          <w:tab w:leader="none" w:pos="340" w:val="left"/>
        </w:tabs>
        <w:numPr>
          <w:ilvl w:val="0"/>
          <w:numId w:val="1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amounts due to non-guarantor subsidiaries of $1,775.6 million and $1,556.0 million as of March 31, 2026 and December 31,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0" w:type="dxa"/>
            <w:vAlign w:val="bottom"/>
          </w:tcPr>
          <w:p>
            <w:pPr>
              <w:ind w:left="22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tc>
        <w:tc>
          <w:tcPr>
            <w:tcW w:w="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200" w:type="dxa"/>
            <w:vAlign w:val="bottom"/>
          </w:tcPr>
          <w:p>
            <w:pPr>
              <w:ind w:left="5180"/>
              <w:spacing w:after="0"/>
              <w:rPr>
                <w:sz w:val="20"/>
                <w:szCs w:val="20"/>
                <w:color w:val="auto"/>
              </w:rPr>
            </w:pPr>
            <w:r>
              <w:rPr>
                <w:rFonts w:ascii="Times New Roman" w:cs="Times New Roman" w:eastAsia="Times New Roman" w:hAnsi="Times New Roman"/>
                <w:sz w:val="18"/>
                <w:szCs w:val="18"/>
                <w:b w:val="1"/>
                <w:bCs w:val="1"/>
                <w:color w:val="auto"/>
              </w:rPr>
              <w:t>(continued)</w:t>
            </w:r>
          </w:p>
        </w:tc>
        <w:tc>
          <w:tcPr>
            <w:tcW w:w="1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93"/>
        </w:trPr>
        <w:tc>
          <w:tcPr>
            <w:tcW w:w="9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Statement of Operations Information</w:t>
            </w:r>
          </w:p>
        </w:tc>
        <w:tc>
          <w:tcPr>
            <w:tcW w:w="1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60" w:type="dxa"/>
            <w:vAlign w:val="bottom"/>
          </w:tcPr>
          <w:p>
            <w:pPr>
              <w:spacing w:after="0"/>
              <w:rPr>
                <w:sz w:val="24"/>
                <w:szCs w:val="24"/>
                <w:color w:val="auto"/>
              </w:rPr>
            </w:pPr>
          </w:p>
        </w:tc>
        <w:tc>
          <w:tcPr>
            <w:tcW w:w="188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40"/>
        </w:trPr>
        <w:tc>
          <w:tcPr>
            <w:tcW w:w="920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0" w:type="dxa"/>
            <w:vAlign w:val="bottom"/>
          </w:tcPr>
          <w:p>
            <w:pPr>
              <w:spacing w:after="0"/>
              <w:rPr>
                <w:sz w:val="1"/>
                <w:szCs w:val="1"/>
                <w:color w:val="auto"/>
              </w:rPr>
            </w:pPr>
          </w:p>
        </w:tc>
      </w:tr>
      <w:tr>
        <w:trPr>
          <w:trHeight w:val="220"/>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r>
              <w:rPr>
                <w:rFonts w:ascii="Times New Roman" w:cs="Times New Roman" w:eastAsia="Times New Roman" w:hAnsi="Times New Roman"/>
                <w:sz w:val="9"/>
                <w:szCs w:val="9"/>
                <w:color w:val="auto"/>
              </w:rPr>
              <w:t>(a)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1,508.6</w:t>
            </w:r>
          </w:p>
        </w:tc>
        <w:tc>
          <w:tcPr>
            <w:tcW w:w="0" w:type="dxa"/>
            <w:vAlign w:val="bottom"/>
          </w:tcPr>
          <w:p>
            <w:pPr>
              <w:spacing w:after="0"/>
              <w:rPr>
                <w:sz w:val="1"/>
                <w:szCs w:val="1"/>
                <w:color w:val="auto"/>
              </w:rPr>
            </w:pPr>
          </w:p>
        </w:tc>
      </w:tr>
      <w:tr>
        <w:trPr>
          <w:trHeight w:val="227"/>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0" w:type="dxa"/>
            <w:vAlign w:val="bottom"/>
          </w:tcPr>
          <w:p>
            <w:pPr>
              <w:spacing w:after="0"/>
              <w:rPr>
                <w:sz w:val="1"/>
                <w:szCs w:val="1"/>
                <w:color w:val="auto"/>
              </w:rPr>
            </w:pPr>
          </w:p>
        </w:tc>
      </w:tr>
      <w:tr>
        <w:trPr>
          <w:trHeight w:val="227"/>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0" w:type="dxa"/>
            <w:vAlign w:val="bottom"/>
          </w:tcPr>
          <w:p>
            <w:pPr>
              <w:spacing w:after="0"/>
              <w:rPr>
                <w:sz w:val="1"/>
                <w:szCs w:val="1"/>
                <w:color w:val="auto"/>
              </w:rPr>
            </w:pPr>
          </w:p>
        </w:tc>
      </w:tr>
      <w:tr>
        <w:trPr>
          <w:trHeight w:val="232"/>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obligor group</w:t>
            </w:r>
          </w:p>
        </w:tc>
        <w:tc>
          <w:tcPr>
            <w:tcW w:w="16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17" w:lineRule="exact"/>
        <w:rPr>
          <w:sz w:val="20"/>
          <w:szCs w:val="20"/>
          <w:color w:val="auto"/>
        </w:rPr>
      </w:pPr>
    </w:p>
    <w:p>
      <w:pPr>
        <w:ind w:left="340" w:hanging="253"/>
        <w:spacing w:after="0"/>
        <w:tabs>
          <w:tab w:leader="none" w:pos="340" w:val="left"/>
        </w:tabs>
        <w:numPr>
          <w:ilvl w:val="0"/>
          <w:numId w:val="1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intercompany revenues generated from non-guarantor subsidiaries of $1,168.8 million.</w:t>
      </w:r>
    </w:p>
    <w:p>
      <w:pPr>
        <w:spacing w:after="0" w:line="233" w:lineRule="exact"/>
        <w:rPr>
          <w:sz w:val="20"/>
          <w:szCs w:val="20"/>
          <w:color w:val="auto"/>
        </w:rPr>
      </w:pPr>
    </w:p>
    <w:p>
      <w:pPr>
        <w:jc w:val="both"/>
        <w:ind w:right="40" w:firstLine="178"/>
        <w:spacing w:after="0" w:line="269" w:lineRule="auto"/>
        <w:rPr>
          <w:sz w:val="20"/>
          <w:szCs w:val="20"/>
          <w:color w:val="auto"/>
        </w:rPr>
      </w:pPr>
      <w:r>
        <w:rPr>
          <w:rFonts w:ascii="Times New Roman" w:cs="Times New Roman" w:eastAsia="Times New Roman" w:hAnsi="Times New Roman"/>
          <w:sz w:val="17"/>
          <w:szCs w:val="17"/>
          <w:color w:val="auto"/>
        </w:rPr>
        <w:t>Our accounts receivable sales agreements in North America, Europe and Brazil permit the sale, on an ongoing basis, of a majority of our receivables to our U.S., Canadian, European and Brazilian finance joint ventures. The sales of all receivables are without recourse to us. We do not service the receivables after the sales occur, and we do not maintain any direct retained interest in the receivables. These agreements are accounted for as off-balance sheet transactions.</w:t>
      </w:r>
    </w:p>
    <w:p>
      <w:pPr>
        <w:spacing w:after="0" w:line="1"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The cash received from receivables sold under these accounts receivable sales agreements that remain outstanding as of March 31, 2026 and December 31, 2025 was approximately $1.8 billion and $2.1 billion, respectively.</w:t>
      </w:r>
    </w:p>
    <w:p>
      <w:pPr>
        <w:spacing w:after="0" w:line="209" w:lineRule="exact"/>
        <w:rPr>
          <w:sz w:val="20"/>
          <w:szCs w:val="20"/>
          <w:color w:val="auto"/>
        </w:rPr>
      </w:pPr>
    </w:p>
    <w:p>
      <w:pPr>
        <w:ind w:right="160" w:firstLine="178"/>
        <w:spacing w:after="0" w:line="261" w:lineRule="auto"/>
        <w:rPr>
          <w:sz w:val="20"/>
          <w:szCs w:val="20"/>
          <w:color w:val="auto"/>
        </w:rPr>
      </w:pPr>
      <w:r>
        <w:rPr>
          <w:rFonts w:ascii="Times New Roman" w:cs="Times New Roman" w:eastAsia="Times New Roman" w:hAnsi="Times New Roman"/>
          <w:sz w:val="18"/>
          <w:szCs w:val="18"/>
          <w:color w:val="auto"/>
        </w:rPr>
        <w:t>In addition, we sell certain trade receivables under factoring arrangements to other financial institutions around the world. The cash received from trade receivables sold under factoring arrangements that remain outstanding as of March 31, 2026 and December 31, 2025 was approximately $262.7 million and $270.5 million, respectively.</w:t>
      </w:r>
    </w:p>
    <w:p>
      <w:pPr>
        <w:spacing w:after="0" w:line="204" w:lineRule="exact"/>
        <w:rPr>
          <w:sz w:val="20"/>
          <w:szCs w:val="20"/>
          <w:color w:val="auto"/>
        </w:rPr>
      </w:pPr>
    </w:p>
    <w:p>
      <w:pPr>
        <w:ind w:right="40" w:firstLine="178"/>
        <w:spacing w:after="0" w:line="252" w:lineRule="auto"/>
        <w:rPr>
          <w:sz w:val="20"/>
          <w:szCs w:val="20"/>
          <w:color w:val="auto"/>
        </w:rPr>
      </w:pPr>
      <w:r>
        <w:rPr>
          <w:rFonts w:ascii="Times New Roman" w:cs="Times New Roman" w:eastAsia="Times New Roman" w:hAnsi="Times New Roman"/>
          <w:sz w:val="18"/>
          <w:szCs w:val="18"/>
          <w:color w:val="auto"/>
        </w:rPr>
        <w:t xml:space="preserve">In order to efficiently manage our liquidity, we generally pay vendors in accordance with negotiated terms. To enable vendors to obtain payment in advance of our payment due dates to them, we have established programs in certain markets with financial institutions under which the vendors have the option to be paid by the financial institutions earlier than the payment due dates. Should we not be able to negotiate extended payment terms with our vendors, or should financial institutions no longer be willing to participate in early payment programs with us, we would expect to have sufficient liquidity to timely pay our vendors without any material impact on us or our financial position. As of March 31, 2026 and December 31, 2025, the amount outstanding that remains unpaid to the banks or other intermediaries associated with these programs totaled $40.0 million and $31.7 million, respectively. Refer to </w:t>
      </w:r>
      <w:r>
        <w:rPr>
          <w:rFonts w:ascii="Times New Roman" w:cs="Times New Roman" w:eastAsia="Times New Roman" w:hAnsi="Times New Roman"/>
          <w:sz w:val="18"/>
          <w:szCs w:val="18"/>
          <w:u w:val="single" w:color="auto"/>
          <w:color w:val="0000FF"/>
        </w:rPr>
        <w:t>Note 6</w:t>
      </w:r>
      <w:r>
        <w:rPr>
          <w:rFonts w:ascii="Times New Roman" w:cs="Times New Roman" w:eastAsia="Times New Roman" w:hAnsi="Times New Roman"/>
          <w:sz w:val="18"/>
          <w:szCs w:val="18"/>
          <w:color w:val="auto"/>
        </w:rPr>
        <w:t xml:space="preserve"> of our Condensed Consolidated Financial Statements for further discussion.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48" w:lineRule="exact"/>
        <w:rPr>
          <w:sz w:val="20"/>
          <w:szCs w:val="20"/>
          <w:color w:val="auto"/>
        </w:rPr>
      </w:pPr>
    </w:p>
    <w:p>
      <w:pPr>
        <w:ind w:right="140" w:firstLine="178"/>
        <w:spacing w:after="0" w:line="261" w:lineRule="auto"/>
        <w:rPr>
          <w:sz w:val="20"/>
          <w:szCs w:val="20"/>
          <w:color w:val="auto"/>
        </w:rPr>
      </w:pPr>
      <w:r>
        <w:rPr>
          <w:rFonts w:ascii="Times New Roman" w:cs="Times New Roman" w:eastAsia="Times New Roman" w:hAnsi="Times New Roman"/>
          <w:sz w:val="18"/>
          <w:szCs w:val="18"/>
          <w:color w:val="auto"/>
        </w:rPr>
        <w:t>Cash flows used in operating activities were approximately $410.4 million for the first three months of 2026 compared to cash flows used in operating activities of approximately $212.2 million for the same period in 2025. Cash used in operating activities during the three months ended March 31, 2026 was driven by changes in working capital.</w:t>
      </w:r>
    </w:p>
    <w:p>
      <w:pPr>
        <w:spacing w:after="0" w:line="204" w:lineRule="exact"/>
        <w:rPr>
          <w:sz w:val="20"/>
          <w:szCs w:val="20"/>
          <w:color w:val="auto"/>
        </w:rPr>
      </w:pPr>
    </w:p>
    <w:p>
      <w:pPr>
        <w:ind w:right="20" w:firstLine="178"/>
        <w:spacing w:after="0" w:line="252" w:lineRule="auto"/>
        <w:rPr>
          <w:sz w:val="20"/>
          <w:szCs w:val="20"/>
          <w:color w:val="auto"/>
        </w:rPr>
      </w:pPr>
      <w:r>
        <w:rPr>
          <w:rFonts w:ascii="Times New Roman" w:cs="Times New Roman" w:eastAsia="Times New Roman" w:hAnsi="Times New Roman"/>
          <w:sz w:val="18"/>
          <w:szCs w:val="18"/>
          <w:color w:val="auto"/>
        </w:rPr>
        <w:t>Our working capital requirements are seasonal, with investments in working capital typically building in the first half of the year and then reducing in the second half of the year. We had approximately $1,209.9 million in working capital at March 31, 2026 as compared to $1,467.0 million at December 31, 2025. Inventories as of March 31, 2026 were approximately $3,001.8 million as compared to $2,709.3 million at December 31, 2025. Accounts and notes receivable, net, as of March 31, 2026 were approximately $162.9 million higher than at December 31, 2025 primarily due to timing of sales of accounts receivable under our factoring arrangements. Accounts payable and Accrued expenses as of March 31, 2026 were approximately $101.0 million lower than at December 31, 2025. Borrowings due within one year increased by approximately $437.8 million as of March 31, 2026, primarily due to the reclassification of the $400.0 million 5.450% Senior notes to current liabilities, as the notes mature on March 21, 2027.</w:t>
      </w: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Capital expenditures for the first three months of 2026 were approximately $44.6 million compared to $48.2 million for the same period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 and Dividends</w:t>
      </w:r>
    </w:p>
    <w:p>
      <w:pPr>
        <w:spacing w:after="0" w:line="248" w:lineRule="exact"/>
        <w:rPr>
          <w:sz w:val="20"/>
          <w:szCs w:val="20"/>
          <w:color w:val="auto"/>
        </w:rPr>
      </w:pPr>
    </w:p>
    <w:p>
      <w:pPr>
        <w:ind w:right="20" w:firstLine="178"/>
        <w:spacing w:after="0" w:line="249" w:lineRule="auto"/>
        <w:rPr>
          <w:sz w:val="20"/>
          <w:szCs w:val="20"/>
          <w:color w:val="auto"/>
        </w:rPr>
      </w:pPr>
      <w:r>
        <w:rPr>
          <w:rFonts w:ascii="Times New Roman" w:cs="Times New Roman" w:eastAsia="Times New Roman" w:hAnsi="Times New Roman"/>
          <w:sz w:val="18"/>
          <w:szCs w:val="18"/>
          <w:color w:val="auto"/>
        </w:rPr>
        <w:t>On July 9, 2025, the Company's Board of Directors authorized a new share repurchase program authorizing the Company to repurchase up to $1.0 billion of the Company's common stock, which has no expiration date. In November 2025, the Company entered into accelerated share repurchase (“ASR”) agreements with two financial institutions to repurchase an aggregate of $250.0 million of shares of its common stock. The Company received approximately 1,997,204 shares associated with these transactions as of December 31, 2025. In February 2026, the Company received an additional 333,755 shares upon final settlement of its November 2025 ASR agreements. All shares received under the ASR agreements were retired upon receipt, and the excess of the purchase price over par value per share was recorded to a combination of “Additional paid-in capital” and “Retained earnings” within the Company’s Condensed Consolidated Balance Sheets. During the three months ended March 31, 2026, the Company did not purchase any shares directly or enter into any accelerated share repurchase agreements. As of March 31, 2026, the remaining amount authorized to be repurchased under board-approved share repurchase authorizations was approximately $785.0 million, which has no expiration date. In conjunction with the Cooperation Agreement entered into with Tractors and Farm Equipment Limited (“TAFE”) in June 2025 (the “Cooperation Agreement”), TAFE agreed to participate on a pro rata basis in the Company’s share repurchase programs as authorized by the Company’s Board of Directors from time to time. Under the Cooperation Agreement, TAFE also retains the right to maintain its existing percentage of beneficial ownership of the Company’s common stock. In February 2026, pursuant to the Cooperation Agreement, the Company committed to repurchase a pro-rata amount of shares from TAFE related to the Company's most recent share repurchase program executed in the fourth quarter of 2025, with settlement expected to occur in May 2026. The Company accounted for this arrangement as a forward share repurchase contract and, as of March 31, 2026, recorded a liability with an offsetting reduction to a combination of “Additional paid-in capital” and “Retained earnings” in the Company’s Condensed Consolidated Balance Sheets. The Company plans to initiate $350.0 million in share repurchases in the second quarter of 2026 under the Company's share repurchase program.</w:t>
      </w:r>
    </w:p>
    <w:p>
      <w:pPr>
        <w:spacing w:after="0" w:line="214" w:lineRule="exact"/>
        <w:rPr>
          <w:sz w:val="20"/>
          <w:szCs w:val="20"/>
          <w:color w:val="auto"/>
        </w:rPr>
      </w:pPr>
    </w:p>
    <w:p>
      <w:pPr>
        <w:ind w:firstLine="178"/>
        <w:spacing w:after="0" w:line="257"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declared and paid cash dividends of $0.29 and $0.29 per common share, respectively. On April 23, 2026, the Company's Board of Directors approved an increase in the Company's regular quarterly dividend to $0.30 per share, from $0.29 per share. In addition, the Company's Board of Directors declared a regular quarterly dividend of $0.30 per common share to be paid on June 15, 2026, to all stockholders of record as of the close of business on May 15, 2026.</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OFF-BALANCE SHEET ARRANGEMENTS AND CONTINGENCIES</w:t>
      </w:r>
    </w:p>
    <w:p>
      <w:pPr>
        <w:spacing w:after="0" w:line="248" w:lineRule="exact"/>
        <w:rPr>
          <w:sz w:val="20"/>
          <w:szCs w:val="20"/>
          <w:color w:val="auto"/>
        </w:rPr>
      </w:pPr>
    </w:p>
    <w:p>
      <w:pPr>
        <w:ind w:right="80" w:firstLine="174"/>
        <w:spacing w:after="0" w:line="254" w:lineRule="auto"/>
        <w:rPr>
          <w:sz w:val="20"/>
          <w:szCs w:val="20"/>
          <w:color w:val="auto"/>
        </w:rPr>
      </w:pPr>
      <w:r>
        <w:rPr>
          <w:rFonts w:ascii="Times New Roman" w:cs="Times New Roman" w:eastAsia="Times New Roman" w:hAnsi="Times New Roman"/>
          <w:sz w:val="18"/>
          <w:szCs w:val="18"/>
          <w:color w:val="auto"/>
        </w:rPr>
        <w:t>We are party to a number of commitments and other financial arrangements, which may include off-balance sheet arrangements. At March 31, 2026, we had outstanding guarantees issued to our Argentine finance joint venture, AGCO Capital, of approximately $83.3 million. In addition, we had accrued approximately $11.9 million of outstanding guarantees of residual values that may be owed to our finance joint ventures in the United States and Canada due upon expiration of certain eligible operating leases between the finance joint ventures and end users. The maximum potential amount of future payments under the guarantee is approximately $227.4 million.</w:t>
      </w:r>
    </w:p>
    <w:p>
      <w:pPr>
        <w:spacing w:after="0" w:line="211" w:lineRule="exact"/>
        <w:rPr>
          <w:sz w:val="20"/>
          <w:szCs w:val="20"/>
          <w:color w:val="auto"/>
        </w:rPr>
      </w:pPr>
    </w:p>
    <w:p>
      <w:pPr>
        <w:ind w:right="120" w:firstLine="174"/>
        <w:spacing w:after="0" w:line="252" w:lineRule="auto"/>
        <w:rPr>
          <w:sz w:val="20"/>
          <w:szCs w:val="20"/>
          <w:color w:val="auto"/>
        </w:rPr>
      </w:pPr>
      <w:r>
        <w:rPr>
          <w:rFonts w:ascii="Times New Roman" w:cs="Times New Roman" w:eastAsia="Times New Roman" w:hAnsi="Times New Roman"/>
          <w:sz w:val="18"/>
          <w:szCs w:val="18"/>
          <w:color w:val="auto"/>
        </w:rPr>
        <w:t>We sell certain accounts receivable under factoring arrangements to our finance joint ventures and to financial institutions around the world. We account for the sale of such receivables as off balance sheet transactions. Our finance joint ventures in Europe, Brazil and Australia also provide wholesale financing directly to our dealers. As of March 31, 2026 and December 31, 2025, these finance joint ventures had approximately $112.8 million and $107.5 million, respectively, of outstanding accounts receivable associated with these arrangements. The total finance portfolio in our finance joint ventures was approximately $15.1 billion and $15.1 billion as of March 31, 2026 and December 31, 2025, respectively. The total finance portfolio as of March 31, 2026 and December 31, 2025 included approximately $12.8 billion and $12.7 billion, respectively, of retail receivables and $2.3 billion and $2.4 billion, respectively, of wholesale receivables from AGCO dealers.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48" w:lineRule="exact"/>
        <w:rPr>
          <w:sz w:val="20"/>
          <w:szCs w:val="20"/>
          <w:color w:val="auto"/>
        </w:rPr>
      </w:pPr>
    </w:p>
    <w:p>
      <w:pPr>
        <w:ind w:right="160" w:firstLine="174"/>
        <w:spacing w:after="0" w:line="284" w:lineRule="auto"/>
        <w:rPr>
          <w:sz w:val="20"/>
          <w:szCs w:val="20"/>
          <w:color w:val="auto"/>
        </w:rPr>
      </w:pPr>
      <w:r>
        <w:rPr>
          <w:rFonts w:ascii="Times New Roman" w:cs="Times New Roman" w:eastAsia="Times New Roman" w:hAnsi="Times New Roman"/>
          <w:sz w:val="17"/>
          <w:szCs w:val="17"/>
          <w:color w:val="auto"/>
        </w:rPr>
        <w:t xml:space="preserve">We are party to various claims and lawsuits arising in the normal course of business. We closely monitor these claims and lawsuits and frequently consult with our legal counsel to determine whether they may, when resolved, have a material adverse effect on our financial position or results of operations and accrue and/or disclose loss contingencies as appropriate. Refer to </w:t>
      </w:r>
      <w:r>
        <w:rPr>
          <w:rFonts w:ascii="Times New Roman" w:cs="Times New Roman" w:eastAsia="Times New Roman" w:hAnsi="Times New Roman"/>
          <w:sz w:val="17"/>
          <w:szCs w:val="17"/>
          <w:u w:val="single" w:color="auto"/>
          <w:color w:val="0000FF"/>
        </w:rPr>
        <w:t>Note 15</w:t>
      </w:r>
      <w:r>
        <w:rPr>
          <w:rFonts w:ascii="Times New Roman" w:cs="Times New Roman" w:eastAsia="Times New Roman" w:hAnsi="Times New Roman"/>
          <w:sz w:val="17"/>
          <w:szCs w:val="17"/>
          <w:color w:val="auto"/>
        </w:rPr>
        <w:t xml:space="preserve"> of our Condensed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48" w:lineRule="exact"/>
        <w:rPr>
          <w:sz w:val="20"/>
          <w:szCs w:val="20"/>
          <w:color w:val="auto"/>
        </w:rPr>
      </w:pPr>
    </w:p>
    <w:p>
      <w:pPr>
        <w:ind w:firstLine="178"/>
        <w:spacing w:after="0" w:line="257" w:lineRule="auto"/>
        <w:rPr>
          <w:sz w:val="20"/>
          <w:szCs w:val="20"/>
          <w:color w:val="auto"/>
        </w:rPr>
      </w:pPr>
      <w:r>
        <w:rPr>
          <w:rFonts w:ascii="Times New Roman" w:cs="Times New Roman" w:eastAsia="Times New Roman" w:hAnsi="Times New Roman"/>
          <w:sz w:val="18"/>
          <w:szCs w:val="18"/>
          <w:color w:val="auto"/>
        </w:rPr>
        <w:t>Global industry demand for farm equipment, driven by farm income, is expected to be relatively flat during 2026 in most major markets compared to 2025. Our net sales are expected to moderately increase in 2026 compared to 2025, resulting from positive pricing, favorable currency translation and sales mix. Operating margins will reflect the impact of higher net sales, positive pricing, relatively flat to lower production volumes and continued cost controls, partially offset by tariff headwinds.</w:t>
      </w:r>
    </w:p>
    <w:p>
      <w:pPr>
        <w:spacing w:after="0" w:line="206" w:lineRule="exact"/>
        <w:rPr>
          <w:sz w:val="20"/>
          <w:szCs w:val="20"/>
          <w:color w:val="auto"/>
        </w:rPr>
      </w:pPr>
    </w:p>
    <w:p>
      <w:pPr>
        <w:ind w:right="320" w:firstLine="178"/>
        <w:spacing w:after="0" w:line="284" w:lineRule="auto"/>
        <w:rPr>
          <w:sz w:val="20"/>
          <w:szCs w:val="20"/>
          <w:color w:val="auto"/>
        </w:rPr>
      </w:pPr>
      <w:r>
        <w:rPr>
          <w:rFonts w:ascii="Times New Roman" w:cs="Times New Roman" w:eastAsia="Times New Roman" w:hAnsi="Times New Roman"/>
          <w:sz w:val="17"/>
          <w:szCs w:val="17"/>
          <w:color w:val="auto"/>
        </w:rPr>
        <w:t>Our outlook is based on current assumptions regarding a number of factors including demand, currency stability, pricing and market share gains. If our assumptions are incorrect, or other issues arise or return, such as tariffs or a worsening of our supply chain, our results of operations will be adversely impacted. Refer to “Risk Factors” in Item 1A of Part I of our Annual Report on Form 10-K for the year ended December 31, 2025 for further discussion.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48" w:lineRule="exact"/>
        <w:rPr>
          <w:sz w:val="20"/>
          <w:szCs w:val="20"/>
          <w:color w:val="auto"/>
        </w:rPr>
      </w:pPr>
    </w:p>
    <w:p>
      <w:pPr>
        <w:ind w:right="120" w:firstLine="174"/>
        <w:spacing w:after="0" w:line="268" w:lineRule="auto"/>
        <w:rPr>
          <w:sz w:val="20"/>
          <w:szCs w:val="20"/>
          <w:color w:val="auto"/>
        </w:rPr>
      </w:pPr>
      <w:r>
        <w:rPr>
          <w:rFonts w:ascii="Times New Roman" w:cs="Times New Roman" w:eastAsia="Times New Roman" w:hAnsi="Times New Roman"/>
          <w:sz w:val="17"/>
          <w:szCs w:val="17"/>
          <w:color w:val="auto"/>
        </w:rPr>
        <w:t>The discussion and analysis of our financial condition and results of operations are based upon our Condensed Consolidated Financial Statements, which have been prepared in accordance with U.S. generally accepted accounting principles. The preparation of these financial statements requires management to make estimates and judgments that affect the reported amounts of assets, liabilities, revenues and expenses and related disclosures of contingent assets and liabilities. On an ongoing basis, management evaluates estimates, including those related to discount and sales incentive allowances, deferred income taxes and uncertain income tax positions, pensions, goodwill, other intangible and long-lived assets. Management bases these estimates on historical experience and on various other assumptions that are believed to be reasonable under the circumstances. Actual results may differ from these estimates under different assumptions or conditions. A description of critical accounting policies and related judgments and estimates that affect the preparation of our Condensed Consolidated Financial Statements is set forth in our Annual Report on Form 10-K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8" w:lineRule="exact"/>
        <w:rPr>
          <w:sz w:val="20"/>
          <w:szCs w:val="20"/>
          <w:color w:val="auto"/>
        </w:rPr>
      </w:pPr>
    </w:p>
    <w:p>
      <w:pPr>
        <w:ind w:firstLine="178"/>
        <w:spacing w:after="0" w:line="250" w:lineRule="auto"/>
        <w:rPr>
          <w:sz w:val="20"/>
          <w:szCs w:val="20"/>
          <w:color w:val="auto"/>
        </w:rPr>
      </w:pPr>
      <w:r>
        <w:rPr>
          <w:rFonts w:ascii="Times New Roman" w:cs="Times New Roman" w:eastAsia="Times New Roman" w:hAnsi="Times New Roman"/>
          <w:sz w:val="18"/>
          <w:szCs w:val="18"/>
          <w:color w:val="auto"/>
        </w:rPr>
        <w:t>Certain statements in “Management’s Discussion and Analysis of Financial Condition and Results of Operations” and elsewhere in this Quarterly Report on Form 10-Q are forward-looking, including certain statements set forth under the headings “Liquidity and Capital Resources” and “Outlook.” Forward-looking statements reflect assumptions, expectations, projections, intentions or beliefs about future events. These statements, which may relate to such matters as earnings, net sales, margins, industry conditions, market demand, commodity prices, farm incomes, weather conditions, foreign currency translation impacts, general economic outlook, dividends, share repurchases, availability of financing, product development and enhancement, factory productivity, production and sales volumes, benefits from cost reduction initiatives, material costs, pricing impacts, tax rates, compliance with loan covenants, capital expenditures and working capital and debt service requirements are “forward-looking statements” within the meaning of the federal securities laws. These statements do not relate strictly to historical or current facts, and you can identify certain of these statements, but not necessarily all, by the use of the words “anticipate,” “assumed,” “indicate,” “estimate,” “believe,” “predict,” “forecast,” “rely,” “expect,” “continue,” “grow” and other words of similar meaning. Although we believe that the expectations and assumptions reflected in these statements are reasonable in view of the information currently available to us, there can be no assurance that these expectations will prove to be correct.</w:t>
      </w:r>
    </w:p>
    <w:p>
      <w:pPr>
        <w:spacing w:after="0" w:line="214" w:lineRule="exact"/>
        <w:rPr>
          <w:sz w:val="20"/>
          <w:szCs w:val="20"/>
          <w:color w:val="auto"/>
        </w:rPr>
      </w:pPr>
    </w:p>
    <w:p>
      <w:pPr>
        <w:ind w:right="140" w:firstLine="174"/>
        <w:spacing w:after="0" w:line="261" w:lineRule="auto"/>
        <w:rPr>
          <w:sz w:val="20"/>
          <w:szCs w:val="20"/>
          <w:color w:val="auto"/>
        </w:rPr>
      </w:pPr>
      <w:r>
        <w:rPr>
          <w:rFonts w:ascii="Times New Roman" w:cs="Times New Roman" w:eastAsia="Times New Roman" w:hAnsi="Times New Roman"/>
          <w:sz w:val="18"/>
          <w:szCs w:val="18"/>
          <w:color w:val="auto"/>
        </w:rPr>
        <w:t>These forward-looking statements involve a number of risks and uncertainties, and actual results may differ materially from the results discussed in or implied by the forward-looking statements. Adverse changes in any of the following factors could cause actual results to differ materially from the forward-looking statements:</w:t>
      </w:r>
    </w:p>
    <w:p>
      <w:pPr>
        <w:spacing w:after="0" w:line="204" w:lineRule="exact"/>
        <w:rPr>
          <w:sz w:val="20"/>
          <w:szCs w:val="20"/>
          <w:color w:val="auto"/>
        </w:rPr>
      </w:pPr>
    </w:p>
    <w:p>
      <w:pPr>
        <w:ind w:left="560" w:hanging="234"/>
        <w:spacing w:after="0"/>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capital market conditions;</w:t>
      </w:r>
    </w:p>
    <w:p>
      <w:pPr>
        <w:spacing w:after="0" w:line="59" w:lineRule="exact"/>
        <w:rPr>
          <w:rFonts w:ascii="Times New Roman" w:cs="Times New Roman" w:eastAsia="Times New Roman" w:hAnsi="Times New Roman"/>
          <w:sz w:val="18"/>
          <w:szCs w:val="18"/>
          <w:color w:val="auto"/>
        </w:rPr>
      </w:pPr>
    </w:p>
    <w:p>
      <w:pPr>
        <w:ind w:left="560" w:hanging="234"/>
        <w:spacing w:after="0"/>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credit to our retail customers;</w:t>
      </w:r>
    </w:p>
    <w:p>
      <w:pPr>
        <w:spacing w:after="0" w:line="59" w:lineRule="exact"/>
        <w:rPr>
          <w:rFonts w:ascii="Times New Roman" w:cs="Times New Roman" w:eastAsia="Times New Roman" w:hAnsi="Times New Roman"/>
          <w:sz w:val="18"/>
          <w:szCs w:val="18"/>
          <w:color w:val="auto"/>
        </w:rPr>
      </w:pPr>
    </w:p>
    <w:p>
      <w:pPr>
        <w:ind w:left="560" w:hanging="234"/>
        <w:spacing w:after="0"/>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worldwide demand for agricultural products;</w:t>
      </w:r>
    </w:p>
    <w:p>
      <w:pPr>
        <w:spacing w:after="0" w:line="59" w:lineRule="exact"/>
        <w:rPr>
          <w:rFonts w:ascii="Times New Roman" w:cs="Times New Roman" w:eastAsia="Times New Roman" w:hAnsi="Times New Roman"/>
          <w:sz w:val="18"/>
          <w:szCs w:val="18"/>
          <w:color w:val="auto"/>
        </w:rPr>
      </w:pPr>
    </w:p>
    <w:p>
      <w:pPr>
        <w:ind w:left="560" w:hanging="234"/>
        <w:spacing w:after="0"/>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grain stock levels and the levels of new and used field inventories;</w:t>
      </w:r>
    </w:p>
    <w:p>
      <w:pPr>
        <w:spacing w:after="0" w:line="59" w:lineRule="exact"/>
        <w:rPr>
          <w:rFonts w:ascii="Times New Roman" w:cs="Times New Roman" w:eastAsia="Times New Roman" w:hAnsi="Times New Roman"/>
          <w:sz w:val="18"/>
          <w:szCs w:val="18"/>
          <w:color w:val="auto"/>
        </w:rPr>
      </w:pPr>
    </w:p>
    <w:p>
      <w:pPr>
        <w:ind w:left="560" w:hanging="234"/>
        <w:spacing w:after="0"/>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steel and other raw materials;</w:t>
      </w:r>
    </w:p>
    <w:p>
      <w:pPr>
        <w:spacing w:after="0" w:line="59" w:lineRule="exact"/>
        <w:rPr>
          <w:rFonts w:ascii="Times New Roman" w:cs="Times New Roman" w:eastAsia="Times New Roman" w:hAnsi="Times New Roman"/>
          <w:sz w:val="18"/>
          <w:szCs w:val="18"/>
          <w:color w:val="auto"/>
        </w:rPr>
      </w:pPr>
    </w:p>
    <w:p>
      <w:pPr>
        <w:ind w:left="560" w:hanging="234"/>
        <w:spacing w:after="0"/>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costs;</w:t>
      </w:r>
    </w:p>
    <w:p>
      <w:pPr>
        <w:spacing w:after="0" w:line="59" w:lineRule="exact"/>
        <w:rPr>
          <w:rFonts w:ascii="Times New Roman" w:cs="Times New Roman" w:eastAsia="Times New Roman" w:hAnsi="Times New Roman"/>
          <w:sz w:val="18"/>
          <w:szCs w:val="18"/>
          <w:color w:val="auto"/>
        </w:rPr>
      </w:pPr>
    </w:p>
    <w:p>
      <w:pPr>
        <w:ind w:left="560" w:hanging="234"/>
        <w:spacing w:after="0"/>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and collectability of the accounts receivable originated or owned by AGCO or our finance joint ventures;</w:t>
      </w:r>
    </w:p>
    <w:p>
      <w:pPr>
        <w:spacing w:after="0" w:line="59" w:lineRule="exact"/>
        <w:rPr>
          <w:rFonts w:ascii="Times New Roman" w:cs="Times New Roman" w:eastAsia="Times New Roman" w:hAnsi="Times New Roman"/>
          <w:sz w:val="18"/>
          <w:szCs w:val="18"/>
          <w:color w:val="auto"/>
        </w:rPr>
      </w:pPr>
    </w:p>
    <w:p>
      <w:pPr>
        <w:ind w:left="560" w:hanging="234"/>
        <w:spacing w:after="0"/>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policies, tariffs and subsidies;</w:t>
      </w:r>
    </w:p>
    <w:p>
      <w:pPr>
        <w:spacing w:after="0" w:line="59" w:lineRule="exact"/>
        <w:rPr>
          <w:rFonts w:ascii="Times New Roman" w:cs="Times New Roman" w:eastAsia="Times New Roman" w:hAnsi="Times New Roman"/>
          <w:sz w:val="18"/>
          <w:szCs w:val="18"/>
          <w:color w:val="auto"/>
        </w:rPr>
      </w:pPr>
    </w:p>
    <w:p>
      <w:pPr>
        <w:ind w:left="640" w:right="460" w:hanging="314"/>
        <w:spacing w:after="0" w:line="276" w:lineRule="auto"/>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regarding changes in the international tariff regimes (including implementation of new tariffs and retaliatory measures) and product embargoes and their impact on the cost of the products that we sell;</w:t>
      </w:r>
    </w:p>
    <w:p>
      <w:pPr>
        <w:spacing w:after="0" w:line="3" w:lineRule="exact"/>
        <w:rPr>
          <w:rFonts w:ascii="Times New Roman" w:cs="Times New Roman" w:eastAsia="Times New Roman" w:hAnsi="Times New Roman"/>
          <w:sz w:val="18"/>
          <w:szCs w:val="18"/>
          <w:color w:val="auto"/>
        </w:rPr>
      </w:pPr>
    </w:p>
    <w:p>
      <w:pPr>
        <w:ind w:left="560" w:hanging="234"/>
        <w:spacing w:after="0"/>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w:t>
      </w:r>
    </w:p>
    <w:p>
      <w:pPr>
        <w:spacing w:after="0" w:line="59" w:lineRule="exact"/>
        <w:rPr>
          <w:rFonts w:ascii="Times New Roman" w:cs="Times New Roman" w:eastAsia="Times New Roman" w:hAnsi="Times New Roman"/>
          <w:sz w:val="18"/>
          <w:szCs w:val="18"/>
          <w:color w:val="auto"/>
        </w:rPr>
      </w:pPr>
    </w:p>
    <w:p>
      <w:pPr>
        <w:ind w:left="560" w:hanging="234"/>
        <w:spacing w:after="0"/>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and foreign currency exchange rates;</w:t>
      </w:r>
    </w:p>
    <w:p>
      <w:pPr>
        <w:spacing w:after="0" w:line="59" w:lineRule="exact"/>
        <w:rPr>
          <w:rFonts w:ascii="Times New Roman" w:cs="Times New Roman" w:eastAsia="Times New Roman" w:hAnsi="Times New Roman"/>
          <w:sz w:val="18"/>
          <w:szCs w:val="18"/>
          <w:color w:val="auto"/>
        </w:rPr>
      </w:pPr>
    </w:p>
    <w:p>
      <w:pPr>
        <w:ind w:left="560" w:hanging="234"/>
        <w:spacing w:after="0"/>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ability to repatriate funds;</w:t>
      </w:r>
    </w:p>
    <w:p>
      <w:pPr>
        <w:spacing w:after="0" w:line="59" w:lineRule="exact"/>
        <w:rPr>
          <w:rFonts w:ascii="Times New Roman" w:cs="Times New Roman" w:eastAsia="Times New Roman" w:hAnsi="Times New Roman"/>
          <w:sz w:val="18"/>
          <w:szCs w:val="18"/>
          <w:color w:val="auto"/>
        </w:rPr>
      </w:pPr>
    </w:p>
    <w:p>
      <w:pPr>
        <w:ind w:left="560" w:hanging="234"/>
        <w:spacing w:after="0"/>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including in individual countries that have been designated as highly inflationary;</w:t>
      </w:r>
    </w:p>
    <w:p>
      <w:pPr>
        <w:spacing w:after="0" w:line="59" w:lineRule="exact"/>
        <w:rPr>
          <w:rFonts w:ascii="Times New Roman" w:cs="Times New Roman" w:eastAsia="Times New Roman" w:hAnsi="Times New Roman"/>
          <w:sz w:val="18"/>
          <w:szCs w:val="18"/>
          <w:color w:val="auto"/>
        </w:rPr>
      </w:pPr>
    </w:p>
    <w:p>
      <w:pPr>
        <w:ind w:left="560" w:hanging="234"/>
        <w:spacing w:after="0"/>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product actions taken by competitors;</w:t>
      </w:r>
    </w:p>
    <w:p>
      <w:pPr>
        <w:spacing w:after="0" w:line="59" w:lineRule="exact"/>
        <w:rPr>
          <w:rFonts w:ascii="Times New Roman" w:cs="Times New Roman" w:eastAsia="Times New Roman" w:hAnsi="Times New Roman"/>
          <w:sz w:val="18"/>
          <w:szCs w:val="18"/>
          <w:color w:val="auto"/>
        </w:rPr>
      </w:pPr>
    </w:p>
    <w:p>
      <w:pPr>
        <w:ind w:left="560" w:hanging="234"/>
        <w:spacing w:after="0"/>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commodity prices, acreage planted and crop yields;</w:t>
      </w:r>
    </w:p>
    <w:p>
      <w:pPr>
        <w:spacing w:after="0" w:line="59" w:lineRule="exact"/>
        <w:rPr>
          <w:rFonts w:ascii="Times New Roman" w:cs="Times New Roman" w:eastAsia="Times New Roman" w:hAnsi="Times New Roman"/>
          <w:sz w:val="18"/>
          <w:szCs w:val="18"/>
          <w:color w:val="auto"/>
        </w:rPr>
      </w:pPr>
    </w:p>
    <w:p>
      <w:pPr>
        <w:ind w:left="560" w:hanging="234"/>
        <w:spacing w:after="0"/>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farm income, land values, debt levels and access to credit;</w:t>
      </w:r>
    </w:p>
    <w:p>
      <w:pPr>
        <w:spacing w:after="0" w:line="59" w:lineRule="exact"/>
        <w:rPr>
          <w:rFonts w:ascii="Times New Roman" w:cs="Times New Roman" w:eastAsia="Times New Roman" w:hAnsi="Times New Roman"/>
          <w:sz w:val="18"/>
          <w:szCs w:val="18"/>
          <w:color w:val="auto"/>
        </w:rPr>
      </w:pPr>
    </w:p>
    <w:p>
      <w:pPr>
        <w:ind w:left="560" w:hanging="234"/>
        <w:spacing w:after="0"/>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pervasive livestock diseases;</w:t>
      </w:r>
    </w:p>
    <w:p>
      <w:pPr>
        <w:spacing w:after="0" w:line="59" w:lineRule="exact"/>
        <w:rPr>
          <w:rFonts w:ascii="Times New Roman" w:cs="Times New Roman" w:eastAsia="Times New Roman" w:hAnsi="Times New Roman"/>
          <w:sz w:val="18"/>
          <w:szCs w:val="18"/>
          <w:color w:val="auto"/>
        </w:rPr>
      </w:pPr>
    </w:p>
    <w:p>
      <w:pPr>
        <w:ind w:left="560" w:hanging="234"/>
        <w:spacing w:after="0"/>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disruptions, including due to component and raw material availability;</w:t>
      </w:r>
    </w:p>
    <w:p>
      <w:pPr>
        <w:spacing w:after="0" w:line="59" w:lineRule="exact"/>
        <w:rPr>
          <w:rFonts w:ascii="Times New Roman" w:cs="Times New Roman" w:eastAsia="Times New Roman" w:hAnsi="Times New Roman"/>
          <w:sz w:val="18"/>
          <w:szCs w:val="18"/>
          <w:color w:val="auto"/>
        </w:rPr>
      </w:pPr>
    </w:p>
    <w:p>
      <w:pPr>
        <w:ind w:left="560" w:hanging="234"/>
        <w:spacing w:after="0"/>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levels and capacity constraints at our facilities, including those resulting from plant expansions and systems upgrades;</w:t>
      </w:r>
    </w:p>
    <w:p>
      <w:pPr>
        <w:spacing w:after="0" w:line="59" w:lineRule="exact"/>
        <w:rPr>
          <w:rFonts w:ascii="Times New Roman" w:cs="Times New Roman" w:eastAsia="Times New Roman" w:hAnsi="Times New Roman"/>
          <w:sz w:val="18"/>
          <w:szCs w:val="18"/>
          <w:color w:val="auto"/>
        </w:rPr>
      </w:pPr>
    </w:p>
    <w:p>
      <w:pPr>
        <w:ind w:left="640" w:right="100" w:hanging="314"/>
        <w:spacing w:after="0" w:line="276" w:lineRule="auto"/>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recent and future acquisitions, including the completed acquisition on April 1, 2024 of the Trimble ag assets and formation of the joint venture, PTx Trimble, and the ability to obtain the expected results;</w:t>
      </w:r>
    </w:p>
    <w:p>
      <w:pPr>
        <w:spacing w:after="0" w:line="3" w:lineRule="exact"/>
        <w:rPr>
          <w:rFonts w:ascii="Times New Roman" w:cs="Times New Roman" w:eastAsia="Times New Roman" w:hAnsi="Times New Roman"/>
          <w:sz w:val="18"/>
          <w:szCs w:val="18"/>
          <w:color w:val="auto"/>
        </w:rPr>
      </w:pPr>
    </w:p>
    <w:p>
      <w:pPr>
        <w:ind w:left="560" w:hanging="234"/>
        <w:spacing w:after="0"/>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expansion plans in emerging markets;</w:t>
      </w:r>
    </w:p>
    <w:p>
      <w:pPr>
        <w:spacing w:after="0" w:line="59" w:lineRule="exact"/>
        <w:rPr>
          <w:rFonts w:ascii="Times New Roman" w:cs="Times New Roman" w:eastAsia="Times New Roman" w:hAnsi="Times New Roman"/>
          <w:sz w:val="18"/>
          <w:szCs w:val="18"/>
          <w:color w:val="auto"/>
        </w:rPr>
      </w:pPr>
    </w:p>
    <w:p>
      <w:pPr>
        <w:ind w:left="560" w:hanging="234"/>
        <w:spacing w:after="0"/>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constraints, including energy shortages;</w:t>
      </w:r>
    </w:p>
    <w:p>
      <w:pPr>
        <w:spacing w:after="0" w:line="59" w:lineRule="exact"/>
        <w:rPr>
          <w:rFonts w:ascii="Times New Roman" w:cs="Times New Roman" w:eastAsia="Times New Roman" w:hAnsi="Times New Roman"/>
          <w:sz w:val="18"/>
          <w:szCs w:val="18"/>
          <w:color w:val="auto"/>
        </w:rPr>
      </w:pPr>
    </w:p>
    <w:p>
      <w:pPr>
        <w:ind w:left="560" w:hanging="234"/>
        <w:spacing w:after="0"/>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cost reduction and control initiatives;</w:t>
      </w:r>
    </w:p>
    <w:p>
      <w:pPr>
        <w:spacing w:after="0" w:line="59" w:lineRule="exact"/>
        <w:rPr>
          <w:rFonts w:ascii="Times New Roman" w:cs="Times New Roman" w:eastAsia="Times New Roman" w:hAnsi="Times New Roman"/>
          <w:sz w:val="18"/>
          <w:szCs w:val="18"/>
          <w:color w:val="auto"/>
        </w:rPr>
      </w:pPr>
    </w:p>
    <w:p>
      <w:pPr>
        <w:ind w:left="560" w:hanging="234"/>
        <w:spacing w:after="0"/>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efforts;</w:t>
      </w:r>
    </w:p>
    <w:p>
      <w:pPr>
        <w:spacing w:after="0" w:line="59" w:lineRule="exact"/>
        <w:rPr>
          <w:rFonts w:ascii="Times New Roman" w:cs="Times New Roman" w:eastAsia="Times New Roman" w:hAnsi="Times New Roman"/>
          <w:sz w:val="18"/>
          <w:szCs w:val="18"/>
          <w:color w:val="auto"/>
        </w:rPr>
      </w:pPr>
    </w:p>
    <w:p>
      <w:pPr>
        <w:ind w:left="560" w:hanging="234"/>
        <w:spacing w:after="0"/>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 and distributor actions;</w:t>
      </w:r>
    </w:p>
    <w:p>
      <w:pPr>
        <w:spacing w:after="0" w:line="59" w:lineRule="exact"/>
        <w:rPr>
          <w:rFonts w:ascii="Times New Roman" w:cs="Times New Roman" w:eastAsia="Times New Roman" w:hAnsi="Times New Roman"/>
          <w:sz w:val="18"/>
          <w:szCs w:val="18"/>
          <w:color w:val="auto"/>
        </w:rPr>
      </w:pPr>
    </w:p>
    <w:p>
      <w:pPr>
        <w:ind w:left="560" w:hanging="234"/>
        <w:spacing w:after="0"/>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affecting privacy and data protection;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67" w:lineRule="exact"/>
        <w:rPr>
          <w:sz w:val="20"/>
          <w:szCs w:val="20"/>
          <w:color w:val="auto"/>
        </w:rPr>
      </w:pPr>
    </w:p>
    <w:p>
      <w:pPr>
        <w:ind w:left="560" w:hanging="234"/>
        <w:spacing w:after="0"/>
        <w:tabs>
          <w:tab w:leader="none" w:pos="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difficulties;</w:t>
      </w:r>
    </w:p>
    <w:p>
      <w:pPr>
        <w:spacing w:after="0" w:line="59" w:lineRule="exact"/>
        <w:rPr>
          <w:rFonts w:ascii="Times New Roman" w:cs="Times New Roman" w:eastAsia="Times New Roman" w:hAnsi="Times New Roman"/>
          <w:sz w:val="18"/>
          <w:szCs w:val="18"/>
          <w:color w:val="auto"/>
        </w:rPr>
      </w:pPr>
    </w:p>
    <w:p>
      <w:pPr>
        <w:ind w:left="560" w:hanging="234"/>
        <w:spacing w:after="0"/>
        <w:tabs>
          <w:tab w:leader="none" w:pos="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future pandemics on product demand and production;</w:t>
      </w:r>
    </w:p>
    <w:p>
      <w:pPr>
        <w:spacing w:after="0" w:line="59" w:lineRule="exact"/>
        <w:rPr>
          <w:rFonts w:ascii="Times New Roman" w:cs="Times New Roman" w:eastAsia="Times New Roman" w:hAnsi="Times New Roman"/>
          <w:sz w:val="18"/>
          <w:szCs w:val="18"/>
          <w:color w:val="auto"/>
        </w:rPr>
      </w:pPr>
    </w:p>
    <w:p>
      <w:pPr>
        <w:ind w:left="560" w:hanging="234"/>
        <w:spacing w:after="0"/>
        <w:tabs>
          <w:tab w:leader="none" w:pos="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future cyberattacks, including ransomware attacks; and</w:t>
      </w:r>
    </w:p>
    <w:p>
      <w:pPr>
        <w:spacing w:after="0" w:line="59" w:lineRule="exact"/>
        <w:rPr>
          <w:rFonts w:ascii="Times New Roman" w:cs="Times New Roman" w:eastAsia="Times New Roman" w:hAnsi="Times New Roman"/>
          <w:sz w:val="18"/>
          <w:szCs w:val="18"/>
          <w:color w:val="auto"/>
        </w:rPr>
      </w:pPr>
    </w:p>
    <w:p>
      <w:pPr>
        <w:ind w:left="560" w:hanging="234"/>
        <w:spacing w:after="0"/>
        <w:tabs>
          <w:tab w:leader="none" w:pos="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conflict in Ukraine and the Middle East.</w:t>
      </w:r>
    </w:p>
    <w:p>
      <w:pPr>
        <w:spacing w:after="0" w:line="299" w:lineRule="exact"/>
        <w:rPr>
          <w:sz w:val="20"/>
          <w:szCs w:val="20"/>
          <w:color w:val="auto"/>
        </w:rPr>
      </w:pPr>
    </w:p>
    <w:p>
      <w:pPr>
        <w:jc w:val="both"/>
        <w:ind w:firstLine="184"/>
        <w:spacing w:after="0" w:line="214" w:lineRule="exact"/>
        <w:rPr>
          <w:sz w:val="20"/>
          <w:szCs w:val="20"/>
          <w:color w:val="auto"/>
        </w:rPr>
      </w:pPr>
      <w:r>
        <w:rPr>
          <w:rFonts w:ascii="Times New Roman" w:cs="Times New Roman" w:eastAsia="Times New Roman" w:hAnsi="Times New Roman"/>
          <w:sz w:val="18"/>
          <w:szCs w:val="18"/>
          <w:color w:val="auto"/>
        </w:rPr>
        <w:t>The global trade landscape continues to be highly volatile. In 2025, the U.S. government implemented a series of tariffs on goods imported into the United States from various countries, and in many cases these measures resulted in reciprocal tariffs and other actions on goods exported from the United States. These tariffs and related actions are complex and continue to evolve as trade negotiations occur. In February 2026, the U.S. Supreme Court ruled that the International Emergency Economic Powers Act (“IEEPA”), which the U.S. government had relied on to impose certain tariffs, does not authorize the administration to impose such tariffs. Following that decision, on March 4, 2026, the U.S. Court of International Trade (“CIT”) ordered U.S. Customs and Border Protection (“CBP”) to process refunds of tariffs imposed under IEEPA, and on March 27, 2026, the CIT issued an amended order expanding the scope of entries subject to reliquidation. On April 20, 2026, the Consolidated Administration and Processing of Entries system opened for the first phase of refund filings. We have submitted certain refund claims under this initial phase; however, these claims remain subject to CBP review, and we cannot predict the timing, amount or ultimate collectability of any refunds to which we may be entitled. The IEEPA tariffs remain subject to ongoing litigation, and the administration has announced plans to implement new tariffs under alternative statutory authority. As a result, the timing and extent of any refunds, the structure and scope of any new tariffs and the overall tariff framework remain uncertain and could create significant risks for our business. Depending on the countries affected, increases in tariffs have raised, and may continue to raise, the costs of inputs used in manufacturing our products, which in turn has impacted, and may further impact, our cost of goods sold. In addition, higher tariffs may lead to increased after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tariff sales prices for the products we sell. Additionally, the economic uncertainty caused by the tariffs may result in customers delaying planned purchases of products and services. While impacts of the tariffs may be partially mitigated by the fact that a majority of our sales and manufacturing takes place outside the United States, there can be no guarantee that we will be able to fully offset the impact of existing or future tariffs through pricing, sourcing changes or other measures. Furthermore, retaliatory tariffs imposed by other countries on our exported products could negatively affect our sales and marketplace access in those countries. The economic uncertainty caused by these tariffs and related trade policy developments, together with uncertainty regarding their enforceability, continuation or modification, has adversely impacted, and is expected to continue to adversely impact, our sales.</w:t>
      </w:r>
    </w:p>
    <w:p>
      <w:pPr>
        <w:spacing w:after="0" w:line="228" w:lineRule="exact"/>
        <w:rPr>
          <w:sz w:val="20"/>
          <w:szCs w:val="20"/>
          <w:color w:val="auto"/>
        </w:rPr>
      </w:pPr>
    </w:p>
    <w:p>
      <w:pPr>
        <w:ind w:right="20" w:firstLine="174"/>
        <w:spacing w:after="0" w:line="253" w:lineRule="auto"/>
        <w:rPr>
          <w:sz w:val="20"/>
          <w:szCs w:val="20"/>
          <w:color w:val="auto"/>
        </w:rPr>
      </w:pPr>
      <w:r>
        <w:rPr>
          <w:rFonts w:ascii="Times New Roman" w:cs="Times New Roman" w:eastAsia="Times New Roman" w:hAnsi="Times New Roman"/>
          <w:sz w:val="18"/>
          <w:szCs w:val="18"/>
          <w:color w:val="auto"/>
        </w:rPr>
        <w:t>We depend on suppliers for components, parts and raw materials for our products, and any failure by our suppliers to provide products as needed, or by us to promptly address supplier issues, will adversely impact our ability to timely and efficiently manufacture and sell products. We cannot predict or control the impact of the conflict in Ukraine or the Middle East on our business. These conflicts have already driven increased volatility across global energy, logistics and input markets, leading to higher fuel, fertilizer, transportation and input costs, as well as general uncertainty for farmers. In addition, the potential of future natural gas shortages in Europe, as well as predicted overall shortages in other energy sources, could also negatively impact our production and that of our supply chain in the future. There can be no assurance that there will not be future disruptions.</w:t>
      </w:r>
    </w:p>
    <w:p>
      <w:pPr>
        <w:spacing w:after="0" w:line="210" w:lineRule="exact"/>
        <w:rPr>
          <w:sz w:val="20"/>
          <w:szCs w:val="20"/>
          <w:color w:val="auto"/>
        </w:rPr>
      </w:pPr>
    </w:p>
    <w:p>
      <w:pPr>
        <w:ind w:right="140" w:firstLine="174"/>
        <w:spacing w:after="0" w:line="276" w:lineRule="auto"/>
        <w:rPr>
          <w:sz w:val="20"/>
          <w:szCs w:val="20"/>
          <w:color w:val="auto"/>
        </w:rPr>
      </w:pPr>
      <w:r>
        <w:rPr>
          <w:rFonts w:ascii="Times New Roman" w:cs="Times New Roman" w:eastAsia="Times New Roman" w:hAnsi="Times New Roman"/>
          <w:sz w:val="18"/>
          <w:szCs w:val="18"/>
          <w:color w:val="auto"/>
        </w:rPr>
        <w:t>We have a substantial amount of indebtedness, and, as a result, we are subject to certain restrictive covenants and payment obligations that may adversely affect our ability to operate and expand our business.</w:t>
      </w:r>
    </w:p>
    <w:p>
      <w:pPr>
        <w:spacing w:after="0" w:line="190" w:lineRule="exact"/>
        <w:rPr>
          <w:sz w:val="20"/>
          <w:szCs w:val="20"/>
          <w:color w:val="auto"/>
        </w:rPr>
      </w:pPr>
    </w:p>
    <w:p>
      <w:pPr>
        <w:ind w:right="220" w:firstLine="168"/>
        <w:spacing w:after="0" w:line="276" w:lineRule="auto"/>
        <w:rPr>
          <w:sz w:val="20"/>
          <w:szCs w:val="20"/>
          <w:color w:val="auto"/>
        </w:rPr>
      </w:pPr>
      <w:r>
        <w:rPr>
          <w:rFonts w:ascii="Times New Roman" w:cs="Times New Roman" w:eastAsia="Times New Roman" w:hAnsi="Times New Roman"/>
          <w:sz w:val="18"/>
          <w:szCs w:val="18"/>
          <w:color w:val="auto"/>
        </w:rPr>
        <w:t>Any forward-looking statement should be considered in light of such important factors. For additional factors and additional information regarding these factors, see “Risk Factors” in Item 1A of Part I of our Annual Report on Form 10-K for the year ended December 31, 2025.</w:t>
      </w:r>
    </w:p>
    <w:p>
      <w:pPr>
        <w:spacing w:after="0" w:line="190" w:lineRule="exact"/>
        <w:rPr>
          <w:sz w:val="20"/>
          <w:szCs w:val="20"/>
          <w:color w:val="auto"/>
        </w:rPr>
      </w:pPr>
    </w:p>
    <w:p>
      <w:pPr>
        <w:ind w:right="60" w:firstLine="178"/>
        <w:spacing w:after="0" w:line="257" w:lineRule="auto"/>
        <w:rPr>
          <w:sz w:val="20"/>
          <w:szCs w:val="20"/>
          <w:color w:val="auto"/>
        </w:rPr>
      </w:pPr>
      <w:r>
        <w:rPr>
          <w:rFonts w:ascii="Times New Roman" w:cs="Times New Roman" w:eastAsia="Times New Roman" w:hAnsi="Times New Roman"/>
          <w:sz w:val="18"/>
          <w:szCs w:val="18"/>
          <w:color w:val="auto"/>
        </w:rPr>
        <w:t>New factors that could cause actual results to differ materially from those described above emerge from time to time, and it is not possible for us to predict all of such factors or the extent to which any such factor or combination of factors may cause actual results to differ from those contained in any forward-looking statement. Any forward-looking statement speaks only as of the date on which such statement is made, and we disclaim any obligation to update the information contained in such statement to reflect subsequent developments or information except as required by law.</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 Management</w:t>
      </w:r>
    </w:p>
    <w:p>
      <w:pPr>
        <w:spacing w:after="0" w:line="248" w:lineRule="exact"/>
        <w:rPr>
          <w:sz w:val="20"/>
          <w:szCs w:val="20"/>
          <w:color w:val="auto"/>
        </w:rPr>
      </w:pPr>
    </w:p>
    <w:p>
      <w:pPr>
        <w:jc w:val="both"/>
        <w:ind w:right="20" w:firstLine="178"/>
        <w:spacing w:after="0" w:line="261"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risks, see “Quantitative and Qualitative Disclosures About Market Risks” in Item 7A of Part II of our Annual Report on Form 10-K for the year ended December 31, 2025. As of the first quarter of 2026, there have been no material changes in our exposure to market risks.</w:t>
      </w:r>
    </w:p>
    <w:p>
      <w:pPr>
        <w:spacing w:after="0" w:line="20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48" w:lineRule="exact"/>
        <w:rPr>
          <w:sz w:val="20"/>
          <w:szCs w:val="20"/>
          <w:color w:val="auto"/>
        </w:rPr>
      </w:pPr>
    </w:p>
    <w:p>
      <w:pPr>
        <w:ind w:right="40" w:firstLine="178"/>
        <w:spacing w:after="0" w:line="253" w:lineRule="auto"/>
        <w:rPr>
          <w:sz w:val="20"/>
          <w:szCs w:val="20"/>
          <w:color w:val="auto"/>
        </w:rPr>
      </w:pPr>
      <w:r>
        <w:rPr>
          <w:rFonts w:ascii="Times New Roman" w:cs="Times New Roman" w:eastAsia="Times New Roman" w:hAnsi="Times New Roman"/>
          <w:sz w:val="18"/>
          <w:szCs w:val="18"/>
          <w:color w:val="auto"/>
        </w:rPr>
        <w:t>Our Chief Executive Officer and Chief Financial Officer, after evaluating the effectiveness of our disclosure controls and procedures (as defined in Rule 13a-15(e) under the Securities Exchange Act of 1934, as amended) as of March 31, 2026, have concluded that, as of such date, our disclosure controls and procedures were effective at the reasonable assurance level.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w:t>
      </w:r>
    </w:p>
    <w:p>
      <w:pPr>
        <w:spacing w:after="0" w:line="210" w:lineRule="exact"/>
        <w:rPr>
          <w:sz w:val="20"/>
          <w:szCs w:val="20"/>
          <w:color w:val="auto"/>
        </w:rPr>
      </w:pPr>
    </w:p>
    <w:p>
      <w:pPr>
        <w:ind w:firstLine="174"/>
        <w:spacing w:after="0" w:line="252" w:lineRule="auto"/>
        <w:rPr>
          <w:sz w:val="20"/>
          <w:szCs w:val="20"/>
          <w:color w:val="auto"/>
        </w:rPr>
      </w:pPr>
      <w:r>
        <w:rPr>
          <w:rFonts w:ascii="Times New Roman" w:cs="Times New Roman" w:eastAsia="Times New Roman" w:hAnsi="Times New Roman"/>
          <w:sz w:val="18"/>
          <w:szCs w:val="18"/>
          <w:color w:val="auto"/>
        </w:rPr>
        <w:t>The Company’s management, including the Chief Executive Officer and the Chief Financial Officer, does not expect that the Company’s disclosure controls or the Company’s internal controls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 cost effective control system, misstatements due to error or fraud may occur and not be detected. We will conduct periodic evaluations of our internal controls to enhance, where necessary, our procedures and controls.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48" w:lineRule="exact"/>
        <w:rPr>
          <w:sz w:val="20"/>
          <w:szCs w:val="20"/>
          <w:color w:val="auto"/>
        </w:rPr>
      </w:pPr>
    </w:p>
    <w:p>
      <w:pPr>
        <w:ind w:firstLine="174"/>
        <w:spacing w:after="0" w:line="306"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identified in connection with the evaluation described above that occurred during the three months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4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48" w:lineRule="exact"/>
        <w:rPr>
          <w:sz w:val="20"/>
          <w:szCs w:val="20"/>
          <w:color w:val="auto"/>
        </w:rPr>
      </w:pPr>
    </w:p>
    <w:p>
      <w:pPr>
        <w:ind w:right="360" w:firstLine="174"/>
        <w:spacing w:after="0" w:line="276" w:lineRule="auto"/>
        <w:rPr>
          <w:sz w:val="20"/>
          <w:szCs w:val="20"/>
          <w:color w:val="auto"/>
        </w:rPr>
      </w:pPr>
      <w:r>
        <w:rPr>
          <w:rFonts w:ascii="Times New Roman" w:cs="Times New Roman" w:eastAsia="Times New Roman" w:hAnsi="Times New Roman"/>
          <w:sz w:val="18"/>
          <w:szCs w:val="18"/>
          <w:color w:val="auto"/>
        </w:rPr>
        <w:t xml:space="preserve">We are a party to various other legal claims and actions incidental to our business. These items are more fully discussed in </w:t>
      </w:r>
      <w:r>
        <w:rPr>
          <w:rFonts w:ascii="Times New Roman" w:cs="Times New Roman" w:eastAsia="Times New Roman" w:hAnsi="Times New Roman"/>
          <w:sz w:val="18"/>
          <w:szCs w:val="18"/>
          <w:u w:val="single" w:color="auto"/>
          <w:color w:val="0000FF"/>
        </w:rPr>
        <w:t>Note 15</w:t>
      </w:r>
      <w:r>
        <w:rPr>
          <w:rFonts w:ascii="Times New Roman" w:cs="Times New Roman" w:eastAsia="Times New Roman" w:hAnsi="Times New Roman"/>
          <w:sz w:val="18"/>
          <w:szCs w:val="18"/>
          <w:color w:val="auto"/>
        </w:rPr>
        <w:t xml:space="preserve"> to our Condensed Consolidated Financial Statements.</w:t>
      </w:r>
    </w:p>
    <w:p>
      <w:pPr>
        <w:spacing w:after="0" w:line="18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48" w:lineRule="exact"/>
        <w:rPr>
          <w:sz w:val="20"/>
          <w:szCs w:val="20"/>
          <w:color w:val="auto"/>
        </w:rPr>
      </w:pPr>
    </w:p>
    <w:p>
      <w:pPr>
        <w:ind w:firstLine="174"/>
        <w:spacing w:after="0" w:line="254" w:lineRule="auto"/>
        <w:rPr>
          <w:sz w:val="20"/>
          <w:szCs w:val="20"/>
          <w:color w:val="auto"/>
        </w:rPr>
      </w:pPr>
      <w:r>
        <w:rPr>
          <w:rFonts w:ascii="Times New Roman" w:cs="Times New Roman" w:eastAsia="Times New Roman" w:hAnsi="Times New Roman"/>
          <w:sz w:val="18"/>
          <w:szCs w:val="18"/>
          <w:color w:val="auto"/>
        </w:rPr>
        <w:t>There have been no material changes to our risks and uncertainties disclosed under “Risk Factors” in Item 1A of Part 1 of our Annual Report on Form 10-K for the year ended December 31, 2025. The risks and uncertainties described in our risk factors have the potential to materially affect our business, results of operations, financial condition and cash flows. These risks are not exclusive and additional risks to which we are subject include the factors mentioned under “Forward-Looking Statements” and the risks described in “Management’s Discussion and Analysis of Financial Condition and Results of Operations” in this Quarterly Report on Form 10-Q.</w:t>
      </w:r>
    </w:p>
    <w:p>
      <w:pPr>
        <w:spacing w:after="0" w:line="20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There were no purchases of our common stock made by or on behalf of us during the three months ended March 31, 2026.</w:t>
      </w:r>
    </w:p>
    <w:p>
      <w:pPr>
        <w:spacing w:after="0" w:line="24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48" w:lineRule="exact"/>
        <w:rPr>
          <w:sz w:val="20"/>
          <w:szCs w:val="20"/>
          <w:color w:val="auto"/>
        </w:rPr>
      </w:pPr>
    </w:p>
    <w:p>
      <w:pPr>
        <w:ind w:right="140" w:firstLine="178"/>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none of our directors or officers (as defined in Rule 16a-1(f) of the Securities Exchange Act of 1934, as amended) adopted or terminated a Rule 10b5-1 trading arrangement or non-Rule 10b5-1 trading arrangement (as such terms are defined in Item 408 of Regulation S-K of the Securities Act of 1933).</w:t>
      </w: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00"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8"/>
          <w:szCs w:val="18"/>
          <w:i w:val="1"/>
          <w:iCs w:val="1"/>
          <w:color w:val="auto"/>
        </w:rPr>
        <w:t>(Each management contract or compensation plan required to be filed as an exhibit is identified by an asterisk (*). The Company is not filing, under Item 4, instruments defining the rights of holders of long-term debt where the debt does not exceed 10% of the Company’s total assets. The Company agrees to furnish copies of those instruments to the Commission upon request.)</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filings referenced for</w:t>
            </w:r>
          </w:p>
        </w:tc>
        <w:tc>
          <w:tcPr>
            <w:tcW w:w="0" w:type="dxa"/>
            <w:vAlign w:val="bottom"/>
          </w:tcPr>
          <w:p>
            <w:pPr>
              <w:spacing w:after="0"/>
              <w:rPr>
                <w:sz w:val="1"/>
                <w:szCs w:val="1"/>
                <w:color w:val="auto"/>
              </w:rPr>
            </w:pPr>
          </w:p>
        </w:tc>
      </w:tr>
      <w:tr>
        <w:trPr>
          <w:trHeight w:val="147"/>
        </w:trPr>
        <w:tc>
          <w:tcPr>
            <w:tcW w:w="10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120" w:type="dxa"/>
            <w:vAlign w:val="bottom"/>
            <w:gridSpan w:val="6"/>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27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incorporation by reference are</w:t>
            </w:r>
          </w:p>
        </w:tc>
        <w:tc>
          <w:tcPr>
            <w:tcW w:w="0" w:type="dxa"/>
            <w:vAlign w:val="bottom"/>
          </w:tcPr>
          <w:p>
            <w:pPr>
              <w:spacing w:after="0"/>
              <w:rPr>
                <w:sz w:val="1"/>
                <w:szCs w:val="1"/>
                <w:color w:val="auto"/>
              </w:rPr>
            </w:pPr>
          </w:p>
        </w:tc>
      </w:tr>
      <w:tr>
        <w:trPr>
          <w:trHeight w:val="192"/>
        </w:trPr>
        <w:tc>
          <w:tcPr>
            <w:tcW w:w="10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120" w:type="dxa"/>
            <w:vAlign w:val="bottom"/>
            <w:gridSpan w:val="6"/>
            <w:vMerge w:val="continue"/>
          </w:tcPr>
          <w:p>
            <w:pPr>
              <w:spacing w:after="0"/>
              <w:rPr>
                <w:sz w:val="16"/>
                <w:szCs w:val="16"/>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AGCO Corporation</w:t>
            </w:r>
          </w:p>
        </w:tc>
        <w:tc>
          <w:tcPr>
            <w:tcW w:w="0" w:type="dxa"/>
            <w:vAlign w:val="bottom"/>
          </w:tcPr>
          <w:p>
            <w:pPr>
              <w:spacing w:after="0"/>
              <w:rPr>
                <w:sz w:val="1"/>
                <w:szCs w:val="1"/>
                <w:color w:val="auto"/>
              </w:rPr>
            </w:pPr>
          </w:p>
        </w:tc>
      </w:tr>
      <w:tr>
        <w:trPr>
          <w:trHeight w:val="186"/>
        </w:trPr>
        <w:tc>
          <w:tcPr>
            <w:tcW w:w="640" w:type="dxa"/>
            <w:vAlign w:val="bottom"/>
            <w:tcBorders>
              <w:top w:val="single" w:sz="8" w:color="auto"/>
            </w:tcBorders>
            <w:gridSpan w:val="2"/>
          </w:tcPr>
          <w:p>
            <w:pPr>
              <w:jc w:val="center"/>
              <w:ind w:left="255"/>
              <w:spacing w:after="0" w:line="186" w:lineRule="exact"/>
              <w:rPr>
                <w:rFonts w:ascii="Times New Roman" w:cs="Times New Roman" w:eastAsia="Times New Roman" w:hAnsi="Times New Roman"/>
                <w:sz w:val="18"/>
                <w:szCs w:val="18"/>
                <w:color w:val="0000FF"/>
                <w:w w:val="95"/>
              </w:rPr>
            </w:pPr>
            <w:hyperlink r:id="rId62">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hyperlink>
          </w:p>
        </w:tc>
        <w:tc>
          <w:tcPr>
            <w:tcW w:w="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320" w:type="dxa"/>
            <w:vAlign w:val="bottom"/>
            <w:tcBorders>
              <w:top w:val="single" w:sz="8" w:color="auto"/>
            </w:tcBorders>
            <w:gridSpan w:val="9"/>
          </w:tcPr>
          <w:p>
            <w:pPr>
              <w:ind w:left="20"/>
              <w:spacing w:after="0" w:line="186"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2026 Form of Restricted Stock Units Agreement*</w:t>
              </w:r>
            </w:hyperlink>
          </w:p>
        </w:tc>
        <w:tc>
          <w:tcPr>
            <w:tcW w:w="100" w:type="dxa"/>
            <w:vAlign w:val="bottom"/>
          </w:tcPr>
          <w:p>
            <w:pPr>
              <w:spacing w:after="0"/>
              <w:rPr>
                <w:sz w:val="16"/>
                <w:szCs w:val="16"/>
                <w:color w:val="auto"/>
              </w:rPr>
            </w:pPr>
          </w:p>
        </w:tc>
        <w:tc>
          <w:tcPr>
            <w:tcW w:w="2740" w:type="dxa"/>
            <w:vAlign w:val="bottom"/>
            <w:tcBorders>
              <w:top w:val="single" w:sz="8" w:color="auto"/>
            </w:tcBorders>
          </w:tcPr>
          <w:p>
            <w:pPr>
              <w:ind w:left="20"/>
              <w:spacing w:after="0" w:line="186" w:lineRule="exact"/>
              <w:rPr>
                <w:sz w:val="20"/>
                <w:szCs w:val="20"/>
                <w:color w:val="auto"/>
              </w:rPr>
            </w:pPr>
            <w:r>
              <w:rPr>
                <w:rFonts w:ascii="Times New Roman" w:cs="Times New Roman" w:eastAsia="Times New Roman" w:hAnsi="Times New Roman"/>
                <w:sz w:val="18"/>
                <w:szCs w:val="18"/>
                <w:color w:val="auto"/>
              </w:rPr>
              <w:t>January 30, 2026, Form 8-K, Exhibit</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4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92"/>
        </w:trPr>
        <w:tc>
          <w:tcPr>
            <w:tcW w:w="640" w:type="dxa"/>
            <w:vAlign w:val="bottom"/>
            <w:gridSpan w:val="2"/>
          </w:tcPr>
          <w:p>
            <w:pPr>
              <w:jc w:val="center"/>
              <w:ind w:left="255"/>
              <w:spacing w:after="0" w:line="192" w:lineRule="exact"/>
              <w:rPr>
                <w:rFonts w:ascii="Times New Roman" w:cs="Times New Roman" w:eastAsia="Times New Roman" w:hAnsi="Times New Roman"/>
                <w:sz w:val="18"/>
                <w:szCs w:val="18"/>
                <w:color w:val="0000FF"/>
                <w:w w:val="95"/>
              </w:rPr>
            </w:pPr>
            <w:hyperlink r:id="rId63">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2</w:t>
              </w:r>
            </w:hyperlink>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20" w:type="dxa"/>
            <w:vAlign w:val="bottom"/>
            <w:gridSpan w:val="10"/>
          </w:tcPr>
          <w:p>
            <w:pPr>
              <w:ind w:left="20"/>
              <w:spacing w:after="0" w:line="192"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2026 Form of Performance Share Agreement*</w:t>
              </w:r>
            </w:hyperlink>
          </w:p>
        </w:tc>
        <w:tc>
          <w:tcPr>
            <w:tcW w:w="2740" w:type="dxa"/>
            <w:vAlign w:val="bottom"/>
          </w:tcPr>
          <w:p>
            <w:pPr>
              <w:ind w:left="20"/>
              <w:spacing w:after="0" w:line="192" w:lineRule="exact"/>
              <w:rPr>
                <w:sz w:val="20"/>
                <w:szCs w:val="20"/>
                <w:color w:val="auto"/>
              </w:rPr>
            </w:pPr>
            <w:r>
              <w:rPr>
                <w:rFonts w:ascii="Times New Roman" w:cs="Times New Roman" w:eastAsia="Times New Roman" w:hAnsi="Times New Roman"/>
                <w:sz w:val="18"/>
                <w:szCs w:val="18"/>
                <w:color w:val="auto"/>
              </w:rPr>
              <w:t>January 30, 2026, Form 8-K, Exhibit</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4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92"/>
        </w:trPr>
        <w:tc>
          <w:tcPr>
            <w:tcW w:w="640" w:type="dxa"/>
            <w:vAlign w:val="bottom"/>
            <w:gridSpan w:val="2"/>
          </w:tcPr>
          <w:p>
            <w:pPr>
              <w:jc w:val="center"/>
              <w:ind w:left="255"/>
              <w:spacing w:after="0" w:line="192" w:lineRule="exact"/>
              <w:rPr>
                <w:rFonts w:ascii="Times New Roman" w:cs="Times New Roman" w:eastAsia="Times New Roman" w:hAnsi="Times New Roman"/>
                <w:sz w:val="18"/>
                <w:szCs w:val="18"/>
                <w:color w:val="0000FF"/>
                <w:w w:val="95"/>
              </w:rPr>
            </w:pPr>
            <w:hyperlink r:id="rId64">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3</w:t>
              </w:r>
            </w:hyperlink>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20" w:type="dxa"/>
            <w:vAlign w:val="bottom"/>
            <w:gridSpan w:val="10"/>
          </w:tcPr>
          <w:p>
            <w:pPr>
              <w:ind w:left="20"/>
              <w:spacing w:after="0" w:line="192"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Annual Incentive Plan Amended as of March 3, 2026*</w:t>
              </w:r>
            </w:hyperlink>
          </w:p>
        </w:tc>
        <w:tc>
          <w:tcPr>
            <w:tcW w:w="2740" w:type="dxa"/>
            <w:vAlign w:val="bottom"/>
          </w:tcPr>
          <w:p>
            <w:pPr>
              <w:ind w:left="20"/>
              <w:spacing w:after="0" w:line="192" w:lineRule="exact"/>
              <w:rPr>
                <w:sz w:val="20"/>
                <w:szCs w:val="20"/>
                <w:color w:val="auto"/>
              </w:rPr>
            </w:pPr>
            <w:r>
              <w:rPr>
                <w:rFonts w:ascii="Times New Roman" w:cs="Times New Roman" w:eastAsia="Times New Roman" w:hAnsi="Times New Roman"/>
                <w:sz w:val="18"/>
                <w:szCs w:val="18"/>
                <w:color w:val="auto"/>
              </w:rPr>
              <w:t>March 6, 2026, Form 8-K, Exhibit</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3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4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92"/>
        </w:trPr>
        <w:tc>
          <w:tcPr>
            <w:tcW w:w="640" w:type="dxa"/>
            <w:vAlign w:val="bottom"/>
            <w:gridSpan w:val="2"/>
          </w:tcPr>
          <w:p>
            <w:pPr>
              <w:jc w:val="center"/>
              <w:ind w:left="255"/>
              <w:spacing w:after="0" w:line="192" w:lineRule="exact"/>
              <w:rPr>
                <w:sz w:val="20"/>
                <w:szCs w:val="20"/>
                <w:color w:val="auto"/>
              </w:rPr>
            </w:pPr>
            <w:r>
              <w:rPr>
                <w:rFonts w:ascii="Times New Roman" w:cs="Times New Roman" w:eastAsia="Times New Roman" w:hAnsi="Times New Roman"/>
                <w:sz w:val="18"/>
                <w:szCs w:val="18"/>
                <w:color w:val="0000FF"/>
                <w:w w:val="95"/>
              </w:rPr>
              <w:t>22.</w:t>
            </w:r>
            <w:r>
              <w:rPr>
                <w:rFonts w:ascii="Times New Roman" w:cs="Times New Roman" w:eastAsia="Times New Roman" w:hAnsi="Times New Roman"/>
                <w:sz w:val="18"/>
                <w:szCs w:val="18"/>
                <w:u w:val="single" w:color="auto"/>
                <w:color w:val="0000FF"/>
                <w:w w:val="95"/>
              </w:rPr>
              <w:t>1</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20" w:type="dxa"/>
            <w:vAlign w:val="bottom"/>
            <w:gridSpan w:val="10"/>
          </w:tcPr>
          <w:p>
            <w:pPr>
              <w:ind w:left="20"/>
              <w:spacing w:after="0" w:line="192" w:lineRule="exact"/>
              <w:rPr>
                <w:sz w:val="20"/>
                <w:szCs w:val="20"/>
                <w:color w:val="auto"/>
              </w:rPr>
            </w:pPr>
            <w:r>
              <w:rPr>
                <w:rFonts w:ascii="Times New Roman" w:cs="Times New Roman" w:eastAsia="Times New Roman" w:hAnsi="Times New Roman"/>
                <w:sz w:val="18"/>
                <w:szCs w:val="18"/>
                <w:color w:val="0000FF"/>
              </w:rPr>
              <w:t>List of Subsidiary Guarantors</w:t>
            </w:r>
          </w:p>
        </w:tc>
        <w:tc>
          <w:tcPr>
            <w:tcW w:w="2740" w:type="dxa"/>
            <w:vAlign w:val="bottom"/>
          </w:tcPr>
          <w:p>
            <w:pPr>
              <w:ind w:left="20"/>
              <w:spacing w:after="0" w:line="192"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40" w:type="dxa"/>
            <w:vAlign w:val="bottom"/>
            <w:gridSpan w:val="2"/>
          </w:tcPr>
          <w:p>
            <w:pPr>
              <w:jc w:val="center"/>
              <w:ind w:left="255"/>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2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0000FF"/>
              </w:rPr>
              <w:t>Certification of Eric P. Hansotia</w:t>
            </w:r>
          </w:p>
        </w:tc>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40" w:type="dxa"/>
            <w:vAlign w:val="bottom"/>
            <w:gridSpan w:val="2"/>
          </w:tcPr>
          <w:p>
            <w:pPr>
              <w:jc w:val="center"/>
              <w:ind w:left="255"/>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2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0000FF"/>
              </w:rPr>
              <w:t>Certification of Damon Audia</w:t>
            </w:r>
          </w:p>
        </w:tc>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40" w:type="dxa"/>
            <w:vAlign w:val="bottom"/>
            <w:gridSpan w:val="2"/>
          </w:tcPr>
          <w:p>
            <w:pPr>
              <w:jc w:val="center"/>
              <w:ind w:left="255"/>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2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0000FF"/>
              </w:rPr>
              <w:t>Certification of Eric P. Hansotia and Damon Audia</w:t>
            </w:r>
          </w:p>
        </w:tc>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Furnished herewith</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20" w:type="dxa"/>
            <w:vAlign w:val="bottom"/>
            <w:gridSpan w:val="6"/>
            <w:shd w:val="clear" w:color="auto" w:fill="0000FF"/>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40" w:type="dxa"/>
            <w:vAlign w:val="bottom"/>
          </w:tcPr>
          <w:p>
            <w:pPr>
              <w:spacing w:after="0"/>
              <w:rPr>
                <w:sz w:val="17"/>
                <w:szCs w:val="17"/>
                <w:color w:val="auto"/>
              </w:rPr>
            </w:pPr>
          </w:p>
        </w:tc>
        <w:tc>
          <w:tcPr>
            <w:tcW w:w="3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6"/>
              </w:rPr>
              <w:t>101</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0" w:type="dxa"/>
            <w:vAlign w:val="bottom"/>
            <w:gridSpan w:val="9"/>
          </w:tcPr>
          <w:p>
            <w:pPr>
              <w:spacing w:after="0" w:line="201" w:lineRule="exact"/>
              <w:rPr>
                <w:sz w:val="20"/>
                <w:szCs w:val="20"/>
                <w:color w:val="auto"/>
              </w:rPr>
            </w:pPr>
            <w:r>
              <w:rPr>
                <w:rFonts w:ascii="Times New Roman" w:cs="Times New Roman" w:eastAsia="Times New Roman" w:hAnsi="Times New Roman"/>
                <w:sz w:val="18"/>
                <w:szCs w:val="18"/>
                <w:color w:val="auto"/>
              </w:rPr>
              <w:t>The following unaudited financial information from this Quarterly Report on Form 10-Q for the</w:t>
            </w:r>
          </w:p>
        </w:tc>
        <w:tc>
          <w:tcPr>
            <w:tcW w:w="274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78"/>
        </w:trPr>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20" w:type="dxa"/>
            <w:vAlign w:val="bottom"/>
            <w:gridSpan w:val="10"/>
          </w:tcPr>
          <w:p>
            <w:pPr>
              <w:ind w:left="20"/>
              <w:spacing w:after="0" w:line="178" w:lineRule="exact"/>
              <w:rPr>
                <w:sz w:val="20"/>
                <w:szCs w:val="20"/>
                <w:color w:val="auto"/>
              </w:rPr>
            </w:pPr>
            <w:r>
              <w:rPr>
                <w:rFonts w:ascii="Times New Roman" w:cs="Times New Roman" w:eastAsia="Times New Roman" w:hAnsi="Times New Roman"/>
                <w:sz w:val="18"/>
                <w:szCs w:val="18"/>
                <w:color w:val="auto"/>
              </w:rPr>
              <w:t>quarter ended March 31, 2026, are formatted in Inline XBRL:</w:t>
            </w:r>
          </w:p>
        </w:tc>
        <w:tc>
          <w:tcPr>
            <w:tcW w:w="2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20" w:type="dxa"/>
            <w:vAlign w:val="bottom"/>
            <w:gridSpan w:val="10"/>
          </w:tcPr>
          <w:p>
            <w:pPr>
              <w:ind w:left="20"/>
              <w:spacing w:after="0" w:line="173" w:lineRule="exact"/>
              <w:rPr>
                <w:sz w:val="20"/>
                <w:szCs w:val="20"/>
                <w:color w:val="auto"/>
              </w:rPr>
            </w:pPr>
            <w:r>
              <w:rPr>
                <w:rFonts w:ascii="Times New Roman" w:cs="Times New Roman" w:eastAsia="Times New Roman" w:hAnsi="Times New Roman"/>
                <w:sz w:val="18"/>
                <w:szCs w:val="18"/>
                <w:color w:val="auto"/>
              </w:rPr>
              <w:t>(i) Condensed Consolidated Balance Sheets;</w:t>
            </w:r>
          </w:p>
        </w:tc>
        <w:tc>
          <w:tcPr>
            <w:tcW w:w="2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20" w:type="dxa"/>
            <w:vAlign w:val="bottom"/>
            <w:gridSpan w:val="10"/>
          </w:tcPr>
          <w:p>
            <w:pPr>
              <w:ind w:left="20"/>
              <w:spacing w:after="0" w:line="182" w:lineRule="exact"/>
              <w:rPr>
                <w:sz w:val="20"/>
                <w:szCs w:val="20"/>
                <w:color w:val="auto"/>
              </w:rPr>
            </w:pPr>
            <w:r>
              <w:rPr>
                <w:rFonts w:ascii="Times New Roman" w:cs="Times New Roman" w:eastAsia="Times New Roman" w:hAnsi="Times New Roman"/>
                <w:sz w:val="18"/>
                <w:szCs w:val="18"/>
                <w:color w:val="auto"/>
              </w:rPr>
              <w:t>(ii) Condensed Consolidated Statements of Operations;</w:t>
            </w:r>
          </w:p>
        </w:tc>
        <w:tc>
          <w:tcPr>
            <w:tcW w:w="2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20" w:type="dxa"/>
            <w:vAlign w:val="bottom"/>
            <w:gridSpan w:val="10"/>
          </w:tcPr>
          <w:p>
            <w:pPr>
              <w:ind w:left="20"/>
              <w:spacing w:after="0" w:line="178" w:lineRule="exact"/>
              <w:rPr>
                <w:sz w:val="20"/>
                <w:szCs w:val="20"/>
                <w:color w:val="auto"/>
              </w:rPr>
            </w:pPr>
            <w:r>
              <w:rPr>
                <w:rFonts w:ascii="Times New Roman" w:cs="Times New Roman" w:eastAsia="Times New Roman" w:hAnsi="Times New Roman"/>
                <w:sz w:val="18"/>
                <w:szCs w:val="18"/>
                <w:color w:val="auto"/>
              </w:rPr>
              <w:t>(iii) Condensed Consolidated Statements of Comprehensive Income;</w:t>
            </w:r>
          </w:p>
        </w:tc>
        <w:tc>
          <w:tcPr>
            <w:tcW w:w="2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20" w:type="dxa"/>
            <w:vAlign w:val="bottom"/>
            <w:gridSpan w:val="10"/>
          </w:tcPr>
          <w:p>
            <w:pPr>
              <w:ind w:left="20"/>
              <w:spacing w:after="0" w:line="173" w:lineRule="exact"/>
              <w:rPr>
                <w:sz w:val="20"/>
                <w:szCs w:val="20"/>
                <w:color w:val="auto"/>
              </w:rPr>
            </w:pPr>
            <w:r>
              <w:rPr>
                <w:rFonts w:ascii="Times New Roman" w:cs="Times New Roman" w:eastAsia="Times New Roman" w:hAnsi="Times New Roman"/>
                <w:sz w:val="18"/>
                <w:szCs w:val="18"/>
                <w:color w:val="auto"/>
              </w:rPr>
              <w:t>(iv) Condensed Consolidated Statements of Cash Flows; and</w:t>
            </w:r>
          </w:p>
        </w:tc>
        <w:tc>
          <w:tcPr>
            <w:tcW w:w="2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2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(v) Notes to Condensed Consolidated Financial Statements</w:t>
            </w: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640" w:type="dxa"/>
            <w:vAlign w:val="bottom"/>
            <w:gridSpan w:val="2"/>
          </w:tcPr>
          <w:p>
            <w:pPr>
              <w:jc w:val="center"/>
              <w:ind w:left="255"/>
              <w:spacing w:after="0" w:line="187" w:lineRule="exact"/>
              <w:rPr>
                <w:sz w:val="20"/>
                <w:szCs w:val="20"/>
                <w:color w:val="auto"/>
              </w:rPr>
            </w:pPr>
            <w:r>
              <w:rPr>
                <w:rFonts w:ascii="Times New Roman" w:cs="Times New Roman" w:eastAsia="Times New Roman" w:hAnsi="Times New Roman"/>
                <w:sz w:val="18"/>
                <w:szCs w:val="18"/>
                <w:color w:val="auto"/>
                <w:w w:val="96"/>
              </w:rPr>
              <w:t>104</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20" w:type="dxa"/>
            <w:vAlign w:val="bottom"/>
            <w:gridSpan w:val="10"/>
          </w:tcPr>
          <w:p>
            <w:pPr>
              <w:ind w:left="20"/>
              <w:spacing w:after="0" w:line="187" w:lineRule="exact"/>
              <w:rPr>
                <w:sz w:val="20"/>
                <w:szCs w:val="20"/>
                <w:color w:val="auto"/>
              </w:rPr>
            </w:pPr>
            <w:r>
              <w:rPr>
                <w:rFonts w:ascii="Times New Roman" w:cs="Times New Roman" w:eastAsia="Times New Roman" w:hAnsi="Times New Roman"/>
                <w:sz w:val="18"/>
                <w:szCs w:val="18"/>
                <w:color w:val="auto"/>
              </w:rPr>
              <w:t>Cover Page Interactive Data File - the cover page from this Quarterly Report on Form 10-Q for the</w:t>
            </w:r>
          </w:p>
        </w:tc>
        <w:tc>
          <w:tcPr>
            <w:tcW w:w="274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32"/>
        </w:trPr>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2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quarter ended March 31, 2026 is formatted in Inline XBRL</w:t>
            </w:r>
          </w:p>
        </w:tc>
        <w:tc>
          <w:tcPr>
            <w:tcW w:w="2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8" w:lineRule="exact"/>
        <w:rPr>
          <w:sz w:val="20"/>
          <w:szCs w:val="20"/>
          <w:color w:val="auto"/>
        </w:rPr>
      </w:pPr>
    </w:p>
    <w:p>
      <w:pPr>
        <w:ind w:firstLine="178"/>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24"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AGCO Corporation</w:t>
      </w:r>
    </w:p>
    <w:p>
      <w:pPr>
        <w:spacing w:after="0" w:line="286" w:lineRule="exact"/>
        <w:rPr>
          <w:sz w:val="20"/>
          <w:szCs w:val="20"/>
          <w:color w:val="auto"/>
        </w:rPr>
      </w:pPr>
    </w:p>
    <w:p>
      <w:pPr>
        <w:ind w:left="20"/>
        <w:spacing w:after="0"/>
        <w:tabs>
          <w:tab w:leader="none" w:pos="600" w:val="left"/>
          <w:tab w:leader="none" w:pos="5980" w:val="left"/>
          <w:tab w:leader="none" w:pos="8360" w:val="left"/>
        </w:tabs>
        <w:rPr>
          <w:sz w:val="20"/>
          <w:szCs w:val="20"/>
          <w:color w:val="auto"/>
        </w:rPr>
      </w:pPr>
      <w:r>
        <w:rPr>
          <w:rFonts w:ascii="Times New Roman" w:cs="Times New Roman" w:eastAsia="Times New Roman" w:hAnsi="Times New Roman"/>
          <w:sz w:val="18"/>
          <w:szCs w:val="18"/>
          <w:color w:val="auto"/>
        </w:rPr>
        <w:t>Date:</w:t>
        <w:tab/>
        <w:t>May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Damon Audia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4269105</wp:posOffset>
            </wp:positionH>
            <wp:positionV relativeFrom="paragraph">
              <wp:posOffset>15875</wp:posOffset>
            </wp:positionV>
            <wp:extent cx="28689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2868930" cy="8255"/>
                    </a:xfrm>
                    <a:prstGeom prst="rect">
                      <a:avLst/>
                    </a:prstGeom>
                    <a:noFill/>
                  </pic:spPr>
                </pic:pic>
              </a:graphicData>
            </a:graphic>
          </wp:anchor>
        </w:drawing>
      </w:r>
    </w:p>
    <w:p>
      <w:pPr>
        <w:jc w:val="center"/>
        <w:ind w:left="6700"/>
        <w:spacing w:after="0"/>
        <w:rPr>
          <w:sz w:val="20"/>
          <w:szCs w:val="20"/>
          <w:color w:val="auto"/>
        </w:rPr>
      </w:pPr>
      <w:r>
        <w:rPr>
          <w:rFonts w:ascii="Times New Roman" w:cs="Times New Roman" w:eastAsia="Times New Roman" w:hAnsi="Times New Roman"/>
          <w:sz w:val="18"/>
          <w:szCs w:val="18"/>
          <w:color w:val="auto"/>
        </w:rPr>
        <w:t>Damon Audia</w:t>
      </w:r>
    </w:p>
    <w:p>
      <w:pPr>
        <w:jc w:val="center"/>
        <w:ind w:left="6700"/>
        <w:spacing w:after="0" w:line="200" w:lineRule="auto"/>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1" w:lineRule="exact"/>
        <w:rPr>
          <w:sz w:val="20"/>
          <w:szCs w:val="20"/>
          <w:color w:val="auto"/>
        </w:rPr>
      </w:pPr>
    </w:p>
    <w:p>
      <w:pPr>
        <w:jc w:val="center"/>
        <w:ind w:left="67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39"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8"/>
          <w:szCs w:val="18"/>
          <w:color w:val="auto"/>
        </w:rPr>
        <w:t>/s/ Indira Agarwal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4269105</wp:posOffset>
            </wp:positionH>
            <wp:positionV relativeFrom="paragraph">
              <wp:posOffset>15875</wp:posOffset>
            </wp:positionV>
            <wp:extent cx="28689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2868930" cy="8255"/>
                    </a:xfrm>
                    <a:prstGeom prst="rect">
                      <a:avLst/>
                    </a:prstGeom>
                    <a:noFill/>
                  </pic:spPr>
                </pic:pic>
              </a:graphicData>
            </a:graphic>
          </wp:anchor>
        </w:drawing>
      </w:r>
    </w:p>
    <w:p>
      <w:pPr>
        <w:ind w:left="8440"/>
        <w:spacing w:after="0"/>
        <w:rPr>
          <w:sz w:val="20"/>
          <w:szCs w:val="20"/>
          <w:color w:val="auto"/>
        </w:rPr>
      </w:pPr>
      <w:r>
        <w:rPr>
          <w:rFonts w:ascii="Times New Roman" w:cs="Times New Roman" w:eastAsia="Times New Roman" w:hAnsi="Times New Roman"/>
          <w:sz w:val="18"/>
          <w:szCs w:val="18"/>
          <w:color w:val="auto"/>
        </w:rPr>
        <w:t>Indira Agarwal</w:t>
      </w:r>
    </w:p>
    <w:p>
      <w:pPr>
        <w:jc w:val="center"/>
        <w:ind w:left="6700"/>
        <w:spacing w:after="0" w:line="200" w:lineRule="auto"/>
        <w:rPr>
          <w:sz w:val="20"/>
          <w:szCs w:val="20"/>
          <w:color w:val="auto"/>
        </w:rPr>
      </w:pPr>
      <w:r>
        <w:rPr>
          <w:rFonts w:ascii="Times New Roman" w:cs="Times New Roman" w:eastAsia="Times New Roman" w:hAnsi="Times New Roman"/>
          <w:sz w:val="18"/>
          <w:szCs w:val="18"/>
          <w:color w:val="auto"/>
        </w:rPr>
        <w:t>Vice President, Chief Accounting Officer</w:t>
      </w:r>
    </w:p>
    <w:p>
      <w:pPr>
        <w:spacing w:after="0" w:line="1" w:lineRule="exact"/>
        <w:rPr>
          <w:sz w:val="20"/>
          <w:szCs w:val="20"/>
          <w:color w:val="auto"/>
        </w:rPr>
      </w:pPr>
    </w:p>
    <w:p>
      <w:pPr>
        <w:jc w:val="center"/>
        <w:ind w:left="670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21"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24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List of Subsidiary Guarantors</w:t>
      </w:r>
    </w:p>
    <w:p>
      <w:pPr>
        <w:spacing w:after="0" w:line="248" w:lineRule="exact"/>
        <w:rPr>
          <w:sz w:val="20"/>
          <w:szCs w:val="20"/>
          <w:color w:val="auto"/>
        </w:rPr>
      </w:pPr>
    </w:p>
    <w:p>
      <w:pPr>
        <w:ind w:right="380" w:firstLine="168"/>
        <w:spacing w:after="0" w:line="276" w:lineRule="auto"/>
        <w:rPr>
          <w:sz w:val="20"/>
          <w:szCs w:val="20"/>
          <w:color w:val="auto"/>
        </w:rPr>
      </w:pPr>
      <w:r>
        <w:rPr>
          <w:rFonts w:ascii="Times New Roman" w:cs="Times New Roman" w:eastAsia="Times New Roman" w:hAnsi="Times New Roman"/>
          <w:sz w:val="18"/>
          <w:szCs w:val="18"/>
          <w:color w:val="auto"/>
        </w:rPr>
        <w:t>As of March 31, 2026, the 5.450% Senior Notes due 2027 and the 5.800% Senior Notes due 2034 issued by AGCO Corporation are guaranteed by the following direct and indirect subsidiaries of AGCO Corporation:</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State or Other Jurisdiction of Incorporation or Organization</w:t>
            </w:r>
          </w:p>
        </w:tc>
      </w:tr>
      <w:tr>
        <w:trPr>
          <w:trHeight w:val="215"/>
        </w:trPr>
        <w:tc>
          <w:tcPr>
            <w:tcW w:w="57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AGCO International Holdings B.V.</w:t>
            </w:r>
          </w:p>
        </w:tc>
        <w:tc>
          <w:tcPr>
            <w:tcW w:w="220" w:type="dxa"/>
            <w:vAlign w:val="bottom"/>
          </w:tcPr>
          <w:p>
            <w:pPr>
              <w:spacing w:after="0"/>
              <w:rPr>
                <w:sz w:val="18"/>
                <w:szCs w:val="18"/>
                <w:color w:val="auto"/>
              </w:rPr>
            </w:pPr>
          </w:p>
        </w:tc>
        <w:tc>
          <w:tcPr>
            <w:tcW w:w="5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The Netherlands</w:t>
            </w:r>
          </w:p>
        </w:tc>
      </w:tr>
      <w:tr>
        <w:trPr>
          <w:trHeight w:val="227"/>
        </w:trPr>
        <w:tc>
          <w:tcPr>
            <w:tcW w:w="6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AGCO International GmbH</w:t>
            </w: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r>
      <w:tr>
        <w:trPr>
          <w:trHeight w:val="232"/>
        </w:trPr>
        <w:tc>
          <w:tcPr>
            <w:tcW w:w="6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Massey Ferguson Corp.</w:t>
            </w: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1240"/>
          </w:cols>
          <w:pgMar w:left="320" w:top="879"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 302 of the Sarbanes-Oxley Act of 2002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P. Hansotia, certify that:</w:t>
      </w:r>
    </w:p>
    <w:p>
      <w:pPr>
        <w:spacing w:after="0" w:line="246" w:lineRule="exact"/>
        <w:rPr>
          <w:sz w:val="20"/>
          <w:szCs w:val="20"/>
          <w:color w:val="auto"/>
        </w:rPr>
      </w:pPr>
    </w:p>
    <w:p>
      <w:pPr>
        <w:ind w:left="960" w:hanging="31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AGCO Corporation;</w:t>
      </w:r>
    </w:p>
    <w:p>
      <w:pPr>
        <w:spacing w:after="0" w:line="246" w:lineRule="exact"/>
        <w:rPr>
          <w:rFonts w:ascii="Times New Roman" w:cs="Times New Roman" w:eastAsia="Times New Roman" w:hAnsi="Times New Roman"/>
          <w:sz w:val="18"/>
          <w:szCs w:val="18"/>
          <w:color w:val="auto"/>
        </w:rPr>
      </w:pPr>
    </w:p>
    <w:p>
      <w:pPr>
        <w:ind w:left="1280" w:right="220" w:hanging="634"/>
        <w:spacing w:after="0" w:line="261" w:lineRule="auto"/>
        <w:tabs>
          <w:tab w:leader="none" w:pos="95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Times New Roman" w:cs="Times New Roman" w:eastAsia="Times New Roman" w:hAnsi="Times New Roman"/>
          <w:sz w:val="18"/>
          <w:szCs w:val="18"/>
          <w:color w:val="auto"/>
        </w:rPr>
      </w:pPr>
    </w:p>
    <w:p>
      <w:pPr>
        <w:ind w:left="1280" w:right="180" w:hanging="634"/>
        <w:spacing w:after="0" w:line="276" w:lineRule="auto"/>
        <w:tabs>
          <w:tab w:leader="none" w:pos="95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Times New Roman" w:cs="Times New Roman" w:eastAsia="Times New Roman" w:hAnsi="Times New Roman"/>
          <w:sz w:val="18"/>
          <w:szCs w:val="18"/>
          <w:color w:val="auto"/>
        </w:rPr>
      </w:pPr>
    </w:p>
    <w:p>
      <w:pPr>
        <w:ind w:left="1280" w:right="100" w:hanging="634"/>
        <w:spacing w:after="0" w:line="261" w:lineRule="auto"/>
        <w:tabs>
          <w:tab w:leader="none" w:pos="94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rFonts w:ascii="Times New Roman" w:cs="Times New Roman" w:eastAsia="Times New Roman" w:hAnsi="Times New Roman"/>
          <w:sz w:val="18"/>
          <w:szCs w:val="18"/>
          <w:color w:val="auto"/>
        </w:rPr>
      </w:pPr>
    </w:p>
    <w:p>
      <w:pPr>
        <w:ind w:left="1920" w:right="40" w:hanging="634"/>
        <w:spacing w:after="0" w:line="261" w:lineRule="auto"/>
        <w:tabs>
          <w:tab w:leader="none" w:pos="191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ind w:left="1920" w:right="360" w:hanging="634"/>
        <w:spacing w:after="0" w:line="261" w:lineRule="auto"/>
        <w:tabs>
          <w:tab w:leader="none" w:pos="191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8"/>
          <w:szCs w:val="18"/>
          <w:color w:val="auto"/>
        </w:rPr>
      </w:pPr>
    </w:p>
    <w:p>
      <w:pPr>
        <w:ind w:left="1920" w:hanging="634"/>
        <w:spacing w:after="0" w:line="261" w:lineRule="auto"/>
        <w:tabs>
          <w:tab w:leader="none" w:pos="191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4" w:lineRule="exact"/>
        <w:rPr>
          <w:rFonts w:ascii="Times New Roman" w:cs="Times New Roman" w:eastAsia="Times New Roman" w:hAnsi="Times New Roman"/>
          <w:sz w:val="18"/>
          <w:szCs w:val="18"/>
          <w:color w:val="auto"/>
        </w:rPr>
      </w:pPr>
    </w:p>
    <w:p>
      <w:pPr>
        <w:ind w:left="1920" w:right="100" w:hanging="634"/>
        <w:spacing w:after="0" w:line="261" w:lineRule="auto"/>
        <w:tabs>
          <w:tab w:leader="none" w:pos="191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8"/>
          <w:szCs w:val="18"/>
          <w:color w:val="auto"/>
        </w:rPr>
      </w:pPr>
    </w:p>
    <w:p>
      <w:pPr>
        <w:ind w:left="1280" w:right="100" w:hanging="634"/>
        <w:spacing w:after="0" w:line="306" w:lineRule="auto"/>
        <w:tabs>
          <w:tab w:leader="none" w:pos="948"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7" w:lineRule="exact"/>
        <w:rPr>
          <w:rFonts w:ascii="Times New Roman" w:cs="Times New Roman" w:eastAsia="Times New Roman" w:hAnsi="Times New Roman"/>
          <w:sz w:val="17"/>
          <w:szCs w:val="17"/>
          <w:color w:val="auto"/>
        </w:rPr>
      </w:pPr>
    </w:p>
    <w:p>
      <w:pPr>
        <w:ind w:left="1920" w:right="40" w:hanging="634"/>
        <w:spacing w:after="0" w:line="306" w:lineRule="auto"/>
        <w:tabs>
          <w:tab w:leader="none" w:pos="1917"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7" w:lineRule="exact"/>
        <w:rPr>
          <w:rFonts w:ascii="Times New Roman" w:cs="Times New Roman" w:eastAsia="Times New Roman" w:hAnsi="Times New Roman"/>
          <w:sz w:val="17"/>
          <w:szCs w:val="17"/>
          <w:color w:val="auto"/>
        </w:rPr>
      </w:pPr>
    </w:p>
    <w:p>
      <w:pPr>
        <w:ind w:left="1920" w:right="240" w:hanging="634"/>
        <w:spacing w:after="0" w:line="276" w:lineRule="auto"/>
        <w:tabs>
          <w:tab w:leader="none" w:pos="191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40"/>
        <w:spacing w:after="0"/>
        <w:tabs>
          <w:tab w:leader="none" w:pos="740" w:val="left"/>
        </w:tabs>
        <w:rPr>
          <w:sz w:val="20"/>
          <w:szCs w:val="20"/>
          <w:color w:val="auto"/>
        </w:rPr>
      </w:pPr>
      <w:r>
        <w:rPr>
          <w:rFonts w:ascii="Times New Roman" w:cs="Times New Roman" w:eastAsia="Times New Roman" w:hAnsi="Times New Roman"/>
          <w:sz w:val="18"/>
          <w:szCs w:val="18"/>
          <w:color w:val="auto"/>
        </w:rPr>
        <w:t>Dated:</w:t>
        <w:tab/>
        <w:t>May 5, 2026</w:t>
      </w:r>
    </w:p>
    <w:p>
      <w:pPr>
        <w:spacing w:after="0" w:line="286"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/s/ Eric P. Hansotia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3135630</wp:posOffset>
            </wp:positionH>
            <wp:positionV relativeFrom="paragraph">
              <wp:posOffset>15875</wp:posOffset>
            </wp:positionV>
            <wp:extent cx="39941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3994150" cy="8255"/>
                    </a:xfrm>
                    <a:prstGeom prst="rect">
                      <a:avLst/>
                    </a:prstGeom>
                    <a:noFill/>
                  </pic:spPr>
                </pic:pic>
              </a:graphicData>
            </a:graphic>
          </wp:anchor>
        </w:drawing>
      </w:r>
    </w:p>
    <w:p>
      <w:pPr>
        <w:spacing w:after="0" w:line="13"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Eric P. Hansotia</w:t>
      </w:r>
    </w:p>
    <w:p>
      <w:pPr>
        <w:spacing w:after="0" w:line="2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w:t>
      </w:r>
    </w:p>
    <w:p>
      <w:pPr>
        <w:sectPr>
          <w:pgSz w:w="11900" w:h="16838" w:orient="portrait"/>
          <w:cols w:equalWidth="0" w:num="1">
            <w:col w:w="11240"/>
          </w:cols>
          <w:pgMar w:left="320" w:top="879"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 302 of the Sarbanes-Oxley Act of 2002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Damon Audia, certify that:</w:t>
      </w:r>
    </w:p>
    <w:p>
      <w:pPr>
        <w:spacing w:after="0" w:line="246" w:lineRule="exact"/>
        <w:rPr>
          <w:sz w:val="20"/>
          <w:szCs w:val="20"/>
          <w:color w:val="auto"/>
        </w:rPr>
      </w:pPr>
    </w:p>
    <w:p>
      <w:pPr>
        <w:ind w:left="960" w:hanging="314"/>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AGCO Corporation;</w:t>
      </w:r>
    </w:p>
    <w:p>
      <w:pPr>
        <w:spacing w:after="0" w:line="246" w:lineRule="exact"/>
        <w:rPr>
          <w:rFonts w:ascii="Times New Roman" w:cs="Times New Roman" w:eastAsia="Times New Roman" w:hAnsi="Times New Roman"/>
          <w:sz w:val="18"/>
          <w:szCs w:val="18"/>
          <w:color w:val="auto"/>
        </w:rPr>
      </w:pPr>
    </w:p>
    <w:p>
      <w:pPr>
        <w:ind w:left="1280" w:right="220" w:hanging="634"/>
        <w:spacing w:after="0" w:line="261" w:lineRule="auto"/>
        <w:tabs>
          <w:tab w:leader="none" w:pos="95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Times New Roman" w:cs="Times New Roman" w:eastAsia="Times New Roman" w:hAnsi="Times New Roman"/>
          <w:sz w:val="18"/>
          <w:szCs w:val="18"/>
          <w:color w:val="auto"/>
        </w:rPr>
      </w:pPr>
    </w:p>
    <w:p>
      <w:pPr>
        <w:ind w:left="1280" w:right="180" w:hanging="634"/>
        <w:spacing w:after="0" w:line="276" w:lineRule="auto"/>
        <w:tabs>
          <w:tab w:leader="none" w:pos="95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Times New Roman" w:cs="Times New Roman" w:eastAsia="Times New Roman" w:hAnsi="Times New Roman"/>
          <w:sz w:val="18"/>
          <w:szCs w:val="18"/>
          <w:color w:val="auto"/>
        </w:rPr>
      </w:pPr>
    </w:p>
    <w:p>
      <w:pPr>
        <w:ind w:left="1280" w:right="100" w:hanging="634"/>
        <w:spacing w:after="0" w:line="261" w:lineRule="auto"/>
        <w:tabs>
          <w:tab w:leader="none" w:pos="9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rFonts w:ascii="Times New Roman" w:cs="Times New Roman" w:eastAsia="Times New Roman" w:hAnsi="Times New Roman"/>
          <w:sz w:val="18"/>
          <w:szCs w:val="18"/>
          <w:color w:val="auto"/>
        </w:rPr>
      </w:pPr>
    </w:p>
    <w:p>
      <w:pPr>
        <w:ind w:left="1920" w:right="40" w:hanging="634"/>
        <w:spacing w:after="0" w:line="261" w:lineRule="auto"/>
        <w:tabs>
          <w:tab w:leader="none" w:pos="191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ind w:left="1920" w:right="360" w:hanging="634"/>
        <w:spacing w:after="0" w:line="261" w:lineRule="auto"/>
        <w:tabs>
          <w:tab w:leader="none" w:pos="191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8"/>
          <w:szCs w:val="18"/>
          <w:color w:val="auto"/>
        </w:rPr>
      </w:pPr>
    </w:p>
    <w:p>
      <w:pPr>
        <w:ind w:left="1920" w:hanging="634"/>
        <w:spacing w:after="0" w:line="261" w:lineRule="auto"/>
        <w:tabs>
          <w:tab w:leader="none" w:pos="191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4" w:lineRule="exact"/>
        <w:rPr>
          <w:rFonts w:ascii="Times New Roman" w:cs="Times New Roman" w:eastAsia="Times New Roman" w:hAnsi="Times New Roman"/>
          <w:sz w:val="18"/>
          <w:szCs w:val="18"/>
          <w:color w:val="auto"/>
        </w:rPr>
      </w:pPr>
    </w:p>
    <w:p>
      <w:pPr>
        <w:ind w:left="1920" w:right="100" w:hanging="634"/>
        <w:spacing w:after="0" w:line="261" w:lineRule="auto"/>
        <w:tabs>
          <w:tab w:leader="none" w:pos="191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8"/>
          <w:szCs w:val="18"/>
          <w:color w:val="auto"/>
        </w:rPr>
      </w:pPr>
    </w:p>
    <w:p>
      <w:pPr>
        <w:ind w:left="1280" w:right="100" w:hanging="634"/>
        <w:spacing w:after="0" w:line="306" w:lineRule="auto"/>
        <w:tabs>
          <w:tab w:leader="none" w:pos="948"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7" w:lineRule="exact"/>
        <w:rPr>
          <w:rFonts w:ascii="Times New Roman" w:cs="Times New Roman" w:eastAsia="Times New Roman" w:hAnsi="Times New Roman"/>
          <w:sz w:val="17"/>
          <w:szCs w:val="17"/>
          <w:color w:val="auto"/>
        </w:rPr>
      </w:pPr>
    </w:p>
    <w:p>
      <w:pPr>
        <w:ind w:left="1920" w:right="40" w:hanging="634"/>
        <w:spacing w:after="0" w:line="306" w:lineRule="auto"/>
        <w:tabs>
          <w:tab w:leader="none" w:pos="1917"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7" w:lineRule="exact"/>
        <w:rPr>
          <w:rFonts w:ascii="Times New Roman" w:cs="Times New Roman" w:eastAsia="Times New Roman" w:hAnsi="Times New Roman"/>
          <w:sz w:val="17"/>
          <w:szCs w:val="17"/>
          <w:color w:val="auto"/>
        </w:rPr>
      </w:pPr>
    </w:p>
    <w:p>
      <w:pPr>
        <w:ind w:left="1920" w:right="240" w:hanging="634"/>
        <w:spacing w:after="0" w:line="276" w:lineRule="auto"/>
        <w:tabs>
          <w:tab w:leader="none" w:pos="191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40"/>
        <w:spacing w:after="0"/>
        <w:tabs>
          <w:tab w:leader="none" w:pos="740" w:val="left"/>
        </w:tabs>
        <w:rPr>
          <w:sz w:val="20"/>
          <w:szCs w:val="20"/>
          <w:color w:val="auto"/>
        </w:rPr>
      </w:pPr>
      <w:r>
        <w:rPr>
          <w:rFonts w:ascii="Times New Roman" w:cs="Times New Roman" w:eastAsia="Times New Roman" w:hAnsi="Times New Roman"/>
          <w:sz w:val="18"/>
          <w:szCs w:val="18"/>
          <w:color w:val="auto"/>
        </w:rPr>
        <w:t>Dated:</w:t>
        <w:tab/>
        <w:t>May 5, 2026</w:t>
      </w:r>
    </w:p>
    <w:p>
      <w:pPr>
        <w:spacing w:after="0" w:line="286"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/s/ Damon Audia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3135630</wp:posOffset>
            </wp:positionH>
            <wp:positionV relativeFrom="paragraph">
              <wp:posOffset>15875</wp:posOffset>
            </wp:positionV>
            <wp:extent cx="39941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3994150" cy="8255"/>
                    </a:xfrm>
                    <a:prstGeom prst="rect">
                      <a:avLst/>
                    </a:prstGeom>
                    <a:noFill/>
                  </pic:spPr>
                </pic:pic>
              </a:graphicData>
            </a:graphic>
          </wp:anchor>
        </w:drawing>
      </w:r>
    </w:p>
    <w:p>
      <w:pPr>
        <w:spacing w:after="0" w:line="13"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Damon Audia</w:t>
      </w:r>
    </w:p>
    <w:p>
      <w:pPr>
        <w:spacing w:after="0" w:line="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1240"/>
          </w:cols>
          <w:pgMar w:left="320" w:top="879"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48" w:lineRule="exact"/>
        <w:rPr>
          <w:sz w:val="20"/>
          <w:szCs w:val="20"/>
          <w:color w:val="auto"/>
        </w:rPr>
      </w:pPr>
    </w:p>
    <w:p>
      <w:pPr>
        <w:ind w:right="60" w:firstLine="454"/>
        <w:spacing w:after="0" w:line="253" w:lineRule="auto"/>
        <w:rPr>
          <w:sz w:val="20"/>
          <w:szCs w:val="20"/>
          <w:color w:val="auto"/>
        </w:rPr>
      </w:pPr>
      <w:r>
        <w:rPr>
          <w:rFonts w:ascii="Times New Roman" w:cs="Times New Roman" w:eastAsia="Times New Roman" w:hAnsi="Times New Roman"/>
          <w:sz w:val="18"/>
          <w:szCs w:val="18"/>
          <w:color w:val="auto"/>
        </w:rPr>
        <w:t>The undersigned, as the Chairman of the Board, President and Chief Executive Officer and as the Senior Vice President and Chief Financial Officer of AGCO Corporation, respectively, certify that, to the best of their knowledge and belief, the Quarterly Report on Form 10-Q for the period ended March 31, 2026, which accompanies this certification fully complies with the requirements of Section 13(a) of the Securities Exchange Act of 1934 and the information contained in the periodic report fairly presents, in all material respects, the financial condition and results of operations of AGCO Corporation at the dates and for the periods indicated. The foregoing certifications are made pursuant to 906 of the Sarbanes-Oxley Act of 2002 (18 U.S.C. 1350) and shall not be relied upon for any other purpose.</w:t>
      </w:r>
    </w:p>
    <w:p>
      <w:pPr>
        <w:spacing w:after="0" w:line="200" w:lineRule="exact"/>
        <w:rPr>
          <w:sz w:val="20"/>
          <w:szCs w:val="20"/>
          <w:color w:val="auto"/>
        </w:rPr>
      </w:pPr>
    </w:p>
    <w:p>
      <w:pPr>
        <w:spacing w:after="0" w:line="29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Eric P. Hansotia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2915285</wp:posOffset>
            </wp:positionH>
            <wp:positionV relativeFrom="paragraph">
              <wp:posOffset>15875</wp:posOffset>
            </wp:positionV>
            <wp:extent cx="36220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3622040" cy="8255"/>
                    </a:xfrm>
                    <a:prstGeom prst="rect">
                      <a:avLst/>
                    </a:prstGeom>
                    <a:noFill/>
                  </pic:spPr>
                </pic:pic>
              </a:graphicData>
            </a:graphic>
          </wp:anchor>
        </w:drawing>
      </w:r>
    </w:p>
    <w:p>
      <w:pPr>
        <w:spacing w:after="0" w:line="13"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Eric P. Hansotia</w:t>
      </w:r>
    </w:p>
    <w:p>
      <w:pPr>
        <w:spacing w:after="0" w:line="25" w:lineRule="exact"/>
        <w:rPr>
          <w:sz w:val="20"/>
          <w:szCs w:val="20"/>
          <w:color w:val="auto"/>
        </w:rPr>
      </w:pPr>
    </w:p>
    <w:p>
      <w:pPr>
        <w:jc w:val="center"/>
        <w:ind w:left="3620"/>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w:t>
      </w:r>
    </w:p>
    <w:p>
      <w:pPr>
        <w:spacing w:after="0" w:line="20" w:lineRule="exact"/>
        <w:rPr>
          <w:sz w:val="20"/>
          <w:szCs w:val="20"/>
          <w:color w:val="auto"/>
        </w:rPr>
      </w:pPr>
    </w:p>
    <w:p>
      <w:pPr>
        <w:jc w:val="center"/>
        <w:ind w:left="3620"/>
        <w:spacing w:after="0"/>
        <w:rPr>
          <w:sz w:val="20"/>
          <w:szCs w:val="20"/>
          <w:color w:val="auto"/>
        </w:rPr>
      </w:pPr>
      <w:r>
        <w:rPr>
          <w:rFonts w:ascii="Times New Roman" w:cs="Times New Roman" w:eastAsia="Times New Roman" w:hAnsi="Times New Roman"/>
          <w:sz w:val="18"/>
          <w:szCs w:val="18"/>
          <w:color w:val="auto"/>
        </w:rPr>
        <w:t>May 5, 2026</w:t>
      </w:r>
    </w:p>
    <w:p>
      <w:pPr>
        <w:spacing w:after="0" w:line="240"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/s/ Damon Audia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2915285</wp:posOffset>
            </wp:positionH>
            <wp:positionV relativeFrom="paragraph">
              <wp:posOffset>15875</wp:posOffset>
            </wp:positionV>
            <wp:extent cx="36220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3622040" cy="8255"/>
                    </a:xfrm>
                    <a:prstGeom prst="rect">
                      <a:avLst/>
                    </a:prstGeom>
                    <a:noFill/>
                  </pic:spPr>
                </pic:pic>
              </a:graphicData>
            </a:graphic>
          </wp:anchor>
        </w:drawing>
      </w:r>
    </w:p>
    <w:p>
      <w:pPr>
        <w:spacing w:after="0" w:line="13"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Damon Audia</w:t>
      </w:r>
    </w:p>
    <w:p>
      <w:pPr>
        <w:spacing w:after="0" w:line="25" w:lineRule="exact"/>
        <w:rPr>
          <w:sz w:val="20"/>
          <w:szCs w:val="20"/>
          <w:color w:val="auto"/>
        </w:rPr>
      </w:pPr>
    </w:p>
    <w:p>
      <w:pPr>
        <w:jc w:val="center"/>
        <w:ind w:left="36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 w:lineRule="exact"/>
        <w:rPr>
          <w:sz w:val="20"/>
          <w:szCs w:val="20"/>
          <w:color w:val="auto"/>
        </w:rPr>
      </w:pPr>
    </w:p>
    <w:p>
      <w:pPr>
        <w:jc w:val="center"/>
        <w:ind w:left="3620"/>
        <w:spacing w:after="0"/>
        <w:rPr>
          <w:sz w:val="20"/>
          <w:szCs w:val="20"/>
          <w:color w:val="auto"/>
        </w:rPr>
      </w:pPr>
      <w:r>
        <w:rPr>
          <w:rFonts w:ascii="Times New Roman" w:cs="Times New Roman" w:eastAsia="Times New Roman" w:hAnsi="Times New Roman"/>
          <w:sz w:val="18"/>
          <w:szCs w:val="18"/>
          <w:color w:val="auto"/>
        </w:rPr>
        <w:t>May 5, 2026</w:t>
      </w:r>
    </w:p>
    <w:p>
      <w:pPr>
        <w:spacing w:after="0" w:line="200" w:lineRule="exact"/>
        <w:rPr>
          <w:sz w:val="20"/>
          <w:szCs w:val="20"/>
          <w:color w:val="auto"/>
        </w:rPr>
      </w:pPr>
    </w:p>
    <w:p>
      <w:pPr>
        <w:spacing w:after="0" w:line="374" w:lineRule="exact"/>
        <w:rPr>
          <w:sz w:val="20"/>
          <w:szCs w:val="20"/>
          <w:color w:val="auto"/>
        </w:rPr>
      </w:pPr>
    </w:p>
    <w:p>
      <w:pPr>
        <w:jc w:val="both"/>
        <w:ind w:right="100" w:firstLine="168"/>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AGCO Corporation and will be retained by AGCO Corporation and furnished to the Securities and Exchange Commission or its staff upon request.</w:t>
      </w:r>
    </w:p>
    <w:sectPr>
      <w:pgSz w:w="11900" w:h="16838" w:orient="portrait"/>
      <w:cols w:equalWidth="0" w:num="1">
        <w:col w:w="11240"/>
      </w:cols>
      <w:pgMar w:left="320" w:top="87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62" Type="http://schemas.openxmlformats.org/officeDocument/2006/relationships/hyperlink" Target="https://www.sec.gov/Archives/edgar/data/880266/000088026626000006/ex-101x2026formofrestricte.htm" TargetMode="External"/><Relationship Id="rId63" Type="http://schemas.openxmlformats.org/officeDocument/2006/relationships/hyperlink" Target="https://www.sec.gov/Archives/edgar/data/880266/000088026626000006/ex-102x2026formofperforman.htm" TargetMode="External"/><Relationship Id="rId64" Type="http://schemas.openxmlformats.org/officeDocument/2006/relationships/hyperlink" Target="https://www.sec.gov/Archives/edgar/data/880266/000088026626000014/ex101-annualincentivepl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2026-05-05T10:47:21Z</dcterms:created>
  <dcterms:modified xsi:type="dcterms:W3CDTF">2026-05-05T10:47:21Z</dcterms:modified>
</cp:coreProperties>
</file>