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508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508750"/>
                    </a:xfrm>
                    <a:prstGeom prst="rect">
                      <a:avLst/>
                    </a:prstGeom>
                    <a:noFill/>
                  </pic:spPr>
                </pic:pic>
              </a:graphicData>
            </a:graphic>
          </wp:anchor>
        </w:drawing>
      </w:r>
    </w:p>
    <w:p>
      <w:pPr>
        <w:sectPr>
          <w:pgSz w:w="11900" w:h="16869"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60" w:type="dxa"/>
            <w:vAlign w:val="bottom"/>
            <w:gridSpan w:val="2"/>
            <w:vMerge w:val="restart"/>
          </w:tcPr>
          <w:p>
            <w:pPr>
              <w:spacing w:after="0"/>
              <w:rPr>
                <w:rFonts w:ascii="Arial" w:cs="Arial" w:eastAsia="Arial" w:hAnsi="Arial"/>
                <w:sz w:val="22"/>
                <w:szCs w:val="22"/>
                <w:color w:val="0000EE"/>
                <w:w w:val="93"/>
              </w:rPr>
            </w:pPr>
            <w:hyperlink r:id="rId11">
              <w:r>
                <w:rPr>
                  <w:rFonts w:ascii="Arial" w:cs="Arial" w:eastAsia="Arial" w:hAnsi="Arial"/>
                  <w:sz w:val="22"/>
                  <w:szCs w:val="22"/>
                  <w:color w:val="0000EE"/>
                  <w:w w:val="93"/>
                </w:rPr>
                <w:t>TOMASEVIC JOSIP T</w:t>
              </w:r>
            </w:hyperlink>
          </w:p>
        </w:tc>
        <w:tc>
          <w:tcPr>
            <w:tcW w:w="116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60" w:type="dxa"/>
            <w:vAlign w:val="bottom"/>
            <w:tcBorders>
              <w:bottom w:val="single" w:sz="8" w:color="0000EE"/>
            </w:tcBorders>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12/31/2018</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180"/>
              <w:spacing w:after="0"/>
              <w:rPr>
                <w:sz w:val="20"/>
                <w:szCs w:val="20"/>
                <w:color w:val="auto"/>
              </w:rPr>
            </w:pPr>
            <w:r>
              <w:rPr>
                <w:rFonts w:ascii="Arial" w:cs="Arial" w:eastAsia="Arial" w:hAnsi="Arial"/>
                <w:sz w:val="14"/>
                <w:szCs w:val="14"/>
                <w:color w:val="auto"/>
              </w:rPr>
              <w:t>(First)</w:t>
            </w:r>
          </w:p>
        </w:tc>
        <w:tc>
          <w:tcPr>
            <w:tcW w:w="1160" w:type="dxa"/>
            <w:vAlign w:val="bottom"/>
          </w:tcPr>
          <w:p>
            <w:pPr>
              <w:ind w:left="12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0000FF"/>
              </w:rPr>
              <w:t>AGCO CORPORATION</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0000FF"/>
              </w:rPr>
              <w:t>4205 RIVER GREEN PARKWAY</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3"/>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DULUTH</w:t>
            </w:r>
          </w:p>
        </w:tc>
        <w:tc>
          <w:tcPr>
            <w:tcW w:w="1140" w:type="dxa"/>
            <w:vAlign w:val="bottom"/>
          </w:tcPr>
          <w:p>
            <w:pPr>
              <w:ind w:left="180"/>
              <w:spacing w:after="0"/>
              <w:rPr>
                <w:sz w:val="20"/>
                <w:szCs w:val="20"/>
                <w:color w:val="auto"/>
              </w:rPr>
            </w:pPr>
            <w:r>
              <w:rPr>
                <w:rFonts w:ascii="Arial" w:cs="Arial" w:eastAsia="Arial" w:hAnsi="Arial"/>
                <w:sz w:val="18"/>
                <w:szCs w:val="18"/>
                <w:color w:val="0000FF"/>
              </w:rPr>
              <w:t>GA</w:t>
            </w:r>
          </w:p>
        </w:tc>
        <w:tc>
          <w:tcPr>
            <w:tcW w:w="1160" w:type="dxa"/>
            <w:vAlign w:val="bottom"/>
          </w:tcPr>
          <w:p>
            <w:pPr>
              <w:ind w:left="120"/>
              <w:spacing w:after="0"/>
              <w:rPr>
                <w:sz w:val="20"/>
                <w:szCs w:val="20"/>
                <w:color w:val="auto"/>
              </w:rPr>
            </w:pPr>
            <w:r>
              <w:rPr>
                <w:rFonts w:ascii="Arial" w:cs="Arial" w:eastAsia="Arial" w:hAnsi="Arial"/>
                <w:sz w:val="18"/>
                <w:szCs w:val="18"/>
                <w:color w:val="0000FF"/>
              </w:rPr>
              <w:t>30096</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AGCO CORP /DE</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AGCO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1440" w:type="dxa"/>
            <w:vAlign w:val="bottom"/>
          </w:tcPr>
          <w:p>
            <w:pPr>
              <w:ind w:left="14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4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00" w:type="dxa"/>
            <w:vAlign w:val="bottom"/>
            <w:vMerge w:val="continue"/>
          </w:tcPr>
          <w:p>
            <w:pPr>
              <w:spacing w:after="0"/>
              <w:rPr>
                <w:sz w:val="5"/>
                <w:szCs w:val="5"/>
                <w:color w:val="auto"/>
              </w:rPr>
            </w:pPr>
          </w:p>
        </w:tc>
        <w:tc>
          <w:tcPr>
            <w:tcW w:w="144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2920" w:type="dxa"/>
            <w:vAlign w:val="bottom"/>
            <w:gridSpan w:val="2"/>
            <w:vMerge w:val="restart"/>
          </w:tcPr>
          <w:p>
            <w:pPr>
              <w:ind w:left="80"/>
              <w:spacing w:after="0"/>
              <w:rPr>
                <w:sz w:val="20"/>
                <w:szCs w:val="20"/>
                <w:color w:val="auto"/>
              </w:rPr>
            </w:pPr>
            <w:r>
              <w:rPr>
                <w:rFonts w:ascii="Arial" w:cs="Arial" w:eastAsia="Arial" w:hAnsi="Arial"/>
                <w:sz w:val="18"/>
                <w:szCs w:val="18"/>
                <w:color w:val="0000FF"/>
              </w:rPr>
              <w:t>SVP Global Purchasing Material</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00" w:type="dxa"/>
            <w:vAlign w:val="bottom"/>
          </w:tcPr>
          <w:p>
            <w:pPr>
              <w:spacing w:after="0"/>
              <w:rPr>
                <w:sz w:val="21"/>
                <w:szCs w:val="21"/>
                <w:color w:val="auto"/>
              </w:rPr>
            </w:pPr>
          </w:p>
        </w:tc>
        <w:tc>
          <w:tcPr>
            <w:tcW w:w="29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69" w:orient="portrait"/>
          <w:cols w:equalWidth="0" w:num="2">
            <w:col w:w="4720" w:space="480"/>
            <w:col w:w="6220"/>
          </w:cols>
          <w:pgMar w:left="240" w:top="226" w:right="239" w:bottom="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Pr>
          <w:p>
            <w:pPr>
              <w:jc w:val="center"/>
              <w:ind w:left="1552"/>
              <w:spacing w:after="0"/>
              <w:rPr>
                <w:sz w:val="20"/>
                <w:szCs w:val="20"/>
                <w:color w:val="auto"/>
              </w:rPr>
            </w:pPr>
            <w:r>
              <w:rPr>
                <w:rFonts w:ascii="Arial" w:cs="Arial" w:eastAsia="Arial" w:hAnsi="Arial"/>
                <w:sz w:val="18"/>
                <w:szCs w:val="18"/>
                <w:color w:val="0000FF"/>
                <w:w w:val="88"/>
              </w:rPr>
              <w:t>7,092</w:t>
            </w:r>
          </w:p>
        </w:tc>
        <w:tc>
          <w:tcPr>
            <w:tcW w:w="4320" w:type="dxa"/>
            <w:vAlign w:val="bottom"/>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43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331"/>
        </w:trPr>
        <w:tc>
          <w:tcPr>
            <w:tcW w:w="20" w:type="dxa"/>
            <w:vAlign w:val="bottom"/>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3"/>
              </w:rPr>
              <w:t>306</w:t>
            </w:r>
            <w:r>
              <w:rPr>
                <w:rFonts w:ascii="Arial" w:cs="Arial" w:eastAsia="Arial" w:hAnsi="Arial"/>
                <w:sz w:val="22"/>
                <w:szCs w:val="22"/>
                <w:color w:val="008000"/>
                <w:w w:val="83"/>
                <w:vertAlign w:val="superscript"/>
              </w:rPr>
              <w:t>(1)</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3"/>
              </w:rPr>
              <w:t>476</w:t>
            </w:r>
            <w:r>
              <w:rPr>
                <w:rFonts w:ascii="Arial" w:cs="Arial" w:eastAsia="Arial" w:hAnsi="Arial"/>
                <w:sz w:val="22"/>
                <w:szCs w:val="22"/>
                <w:color w:val="008000"/>
                <w:w w:val="83"/>
                <w:vertAlign w:val="superscript"/>
              </w:rPr>
              <w:t>(2)</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1,122</w:t>
            </w:r>
            <w:r>
              <w:rPr>
                <w:rFonts w:ascii="Arial" w:cs="Arial" w:eastAsia="Arial" w:hAnsi="Arial"/>
                <w:sz w:val="22"/>
                <w:szCs w:val="22"/>
                <w:color w:val="008000"/>
                <w:w w:val="82"/>
                <w:vertAlign w:val="superscript"/>
              </w:rPr>
              <w:t>(3)</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2,655</w:t>
            </w:r>
            <w:r>
              <w:rPr>
                <w:rFonts w:ascii="Arial" w:cs="Arial" w:eastAsia="Arial" w:hAnsi="Arial"/>
                <w:sz w:val="22"/>
                <w:szCs w:val="22"/>
                <w:color w:val="008000"/>
                <w:w w:val="82"/>
                <w:vertAlign w:val="superscript"/>
              </w:rPr>
              <w:t>(4)</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1,334</w:t>
            </w:r>
            <w:r>
              <w:rPr>
                <w:rFonts w:ascii="Arial" w:cs="Arial" w:eastAsia="Arial" w:hAnsi="Arial"/>
                <w:sz w:val="22"/>
                <w:szCs w:val="22"/>
                <w:color w:val="008000"/>
                <w:w w:val="82"/>
                <w:vertAlign w:val="superscript"/>
              </w:rPr>
              <w:t>(5)</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4,455</w:t>
            </w:r>
            <w:r>
              <w:rPr>
                <w:rFonts w:ascii="Arial" w:cs="Arial" w:eastAsia="Arial" w:hAnsi="Arial"/>
                <w:sz w:val="22"/>
                <w:szCs w:val="22"/>
                <w:color w:val="008000"/>
                <w:w w:val="82"/>
                <w:vertAlign w:val="superscript"/>
              </w:rPr>
              <w:t>(6)</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3560" w:type="dxa"/>
            <w:vAlign w:val="bottom"/>
            <w:tcBorders>
              <w:top w:val="single" w:sz="8" w:color="808080"/>
            </w:tcBorders>
            <w:shd w:val="clear" w:color="auto" w:fill="2C2C2C"/>
          </w:tcPr>
          <w:p>
            <w:pPr>
              <w:spacing w:after="0" w:line="20" w:lineRule="exact"/>
              <w:rPr>
                <w:sz w:val="1"/>
                <w:szCs w:val="1"/>
                <w:color w:val="auto"/>
              </w:rPr>
            </w:pPr>
          </w:p>
        </w:tc>
        <w:tc>
          <w:tcPr>
            <w:tcW w:w="43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Appreciation Right</w:t>
            </w:r>
          </w:p>
        </w:tc>
        <w:tc>
          <w:tcPr>
            <w:tcW w:w="900" w:type="dxa"/>
            <w:vAlign w:val="bottom"/>
          </w:tcPr>
          <w:p>
            <w:pPr>
              <w:jc w:val="center"/>
              <w:spacing w:after="0"/>
              <w:rPr>
                <w:sz w:val="20"/>
                <w:szCs w:val="20"/>
                <w:color w:val="auto"/>
              </w:rPr>
            </w:pPr>
            <w:r>
              <w:rPr>
                <w:rFonts w:ascii="Arial" w:cs="Arial" w:eastAsia="Arial" w:hAnsi="Arial"/>
                <w:sz w:val="11"/>
                <w:szCs w:val="11"/>
                <w:color w:val="008000"/>
              </w:rPr>
              <w:t>(7)</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01/23/2020</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right"/>
              <w:ind w:right="62"/>
              <w:spacing w:after="0"/>
              <w:rPr>
                <w:sz w:val="20"/>
                <w:szCs w:val="20"/>
                <w:color w:val="auto"/>
              </w:rPr>
            </w:pPr>
            <w:r>
              <w:rPr>
                <w:rFonts w:ascii="Arial" w:cs="Arial" w:eastAsia="Arial" w:hAnsi="Arial"/>
                <w:sz w:val="18"/>
                <w:szCs w:val="18"/>
                <w:color w:val="0000FF"/>
              </w:rPr>
              <w:t>2,800</w:t>
            </w:r>
          </w:p>
        </w:tc>
        <w:tc>
          <w:tcPr>
            <w:tcW w:w="880" w:type="dxa"/>
            <w:vAlign w:val="bottom"/>
          </w:tcPr>
          <w:p>
            <w:pPr>
              <w:ind w:left="240"/>
              <w:spacing w:after="0"/>
              <w:rPr>
                <w:sz w:val="20"/>
                <w:szCs w:val="20"/>
                <w:color w:val="auto"/>
              </w:rPr>
            </w:pPr>
            <w:r>
              <w:rPr>
                <w:rFonts w:ascii="Arial" w:cs="Arial" w:eastAsia="Arial" w:hAnsi="Arial"/>
                <w:sz w:val="18"/>
                <w:szCs w:val="18"/>
                <w:color w:val="0000FF"/>
              </w:rPr>
              <w:t>51.84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Appreciation Right</w:t>
            </w:r>
          </w:p>
        </w:tc>
        <w:tc>
          <w:tcPr>
            <w:tcW w:w="900" w:type="dxa"/>
            <w:vAlign w:val="bottom"/>
          </w:tcPr>
          <w:p>
            <w:pPr>
              <w:jc w:val="center"/>
              <w:spacing w:after="0"/>
              <w:rPr>
                <w:sz w:val="20"/>
                <w:szCs w:val="20"/>
                <w:color w:val="auto"/>
              </w:rPr>
            </w:pPr>
            <w:r>
              <w:rPr>
                <w:rFonts w:ascii="Arial" w:cs="Arial" w:eastAsia="Arial" w:hAnsi="Arial"/>
                <w:sz w:val="11"/>
                <w:szCs w:val="11"/>
                <w:color w:val="008000"/>
              </w:rPr>
              <w:t>(8)</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01/22/2021</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right"/>
              <w:ind w:right="62"/>
              <w:spacing w:after="0"/>
              <w:rPr>
                <w:sz w:val="20"/>
                <w:szCs w:val="20"/>
                <w:color w:val="auto"/>
              </w:rPr>
            </w:pPr>
            <w:r>
              <w:rPr>
                <w:rFonts w:ascii="Arial" w:cs="Arial" w:eastAsia="Arial" w:hAnsi="Arial"/>
                <w:sz w:val="18"/>
                <w:szCs w:val="18"/>
                <w:color w:val="0000FF"/>
              </w:rPr>
              <w:t>2,700</w:t>
            </w:r>
          </w:p>
        </w:tc>
        <w:tc>
          <w:tcPr>
            <w:tcW w:w="880" w:type="dxa"/>
            <w:vAlign w:val="bottom"/>
          </w:tcPr>
          <w:p>
            <w:pPr>
              <w:ind w:left="240"/>
              <w:spacing w:after="0"/>
              <w:rPr>
                <w:sz w:val="20"/>
                <w:szCs w:val="20"/>
                <w:color w:val="auto"/>
              </w:rPr>
            </w:pPr>
            <w:r>
              <w:rPr>
                <w:rFonts w:ascii="Arial" w:cs="Arial" w:eastAsia="Arial" w:hAnsi="Arial"/>
                <w:sz w:val="18"/>
                <w:szCs w:val="18"/>
                <w:color w:val="0000FF"/>
              </w:rPr>
              <w:t>55.23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Appreciation Right</w:t>
            </w:r>
          </w:p>
        </w:tc>
        <w:tc>
          <w:tcPr>
            <w:tcW w:w="900" w:type="dxa"/>
            <w:vAlign w:val="bottom"/>
          </w:tcPr>
          <w:p>
            <w:pPr>
              <w:jc w:val="center"/>
              <w:spacing w:after="0"/>
              <w:rPr>
                <w:sz w:val="20"/>
                <w:szCs w:val="20"/>
                <w:color w:val="auto"/>
              </w:rPr>
            </w:pPr>
            <w:r>
              <w:rPr>
                <w:rFonts w:ascii="Arial" w:cs="Arial" w:eastAsia="Arial" w:hAnsi="Arial"/>
                <w:sz w:val="11"/>
                <w:szCs w:val="11"/>
                <w:color w:val="008000"/>
              </w:rPr>
              <w:t>(9)</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01/21/2022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right"/>
              <w:ind w:right="62"/>
              <w:spacing w:after="0"/>
              <w:rPr>
                <w:sz w:val="20"/>
                <w:szCs w:val="20"/>
                <w:color w:val="auto"/>
              </w:rPr>
            </w:pPr>
            <w:r>
              <w:rPr>
                <w:rFonts w:ascii="Arial" w:cs="Arial" w:eastAsia="Arial" w:hAnsi="Arial"/>
                <w:sz w:val="18"/>
                <w:szCs w:val="18"/>
                <w:color w:val="0000FF"/>
              </w:rPr>
              <w:t>3,300</w:t>
            </w:r>
          </w:p>
        </w:tc>
        <w:tc>
          <w:tcPr>
            <w:tcW w:w="880" w:type="dxa"/>
            <w:vAlign w:val="bottom"/>
          </w:tcPr>
          <w:p>
            <w:pPr>
              <w:ind w:left="240"/>
              <w:spacing w:after="0"/>
              <w:rPr>
                <w:sz w:val="20"/>
                <w:szCs w:val="20"/>
                <w:color w:val="auto"/>
              </w:rPr>
            </w:pPr>
            <w:r>
              <w:rPr>
                <w:rFonts w:ascii="Arial" w:cs="Arial" w:eastAsia="Arial" w:hAnsi="Arial"/>
                <w:sz w:val="18"/>
                <w:szCs w:val="18"/>
                <w:color w:val="0000FF"/>
              </w:rPr>
              <w:t>43.88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Appreciation Right</w:t>
            </w:r>
          </w:p>
        </w:tc>
        <w:tc>
          <w:tcPr>
            <w:tcW w:w="90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01/26/2023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right"/>
              <w:ind w:right="62"/>
              <w:spacing w:after="0"/>
              <w:rPr>
                <w:sz w:val="20"/>
                <w:szCs w:val="20"/>
                <w:color w:val="auto"/>
              </w:rPr>
            </w:pPr>
            <w:r>
              <w:rPr>
                <w:rFonts w:ascii="Arial" w:cs="Arial" w:eastAsia="Arial" w:hAnsi="Arial"/>
                <w:sz w:val="18"/>
                <w:szCs w:val="18"/>
                <w:color w:val="0000FF"/>
              </w:rPr>
              <w:t>3,000</w:t>
            </w:r>
          </w:p>
        </w:tc>
        <w:tc>
          <w:tcPr>
            <w:tcW w:w="880" w:type="dxa"/>
            <w:vAlign w:val="bottom"/>
          </w:tcPr>
          <w:p>
            <w:pPr>
              <w:ind w:left="240"/>
              <w:spacing w:after="0"/>
              <w:rPr>
                <w:sz w:val="20"/>
                <w:szCs w:val="20"/>
                <w:color w:val="auto"/>
              </w:rPr>
            </w:pPr>
            <w:r>
              <w:rPr>
                <w:rFonts w:ascii="Arial" w:cs="Arial" w:eastAsia="Arial" w:hAnsi="Arial"/>
                <w:sz w:val="18"/>
                <w:szCs w:val="18"/>
                <w:color w:val="0000FF"/>
              </w:rPr>
              <w:t>46.58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Appreciation Right</w:t>
            </w:r>
          </w:p>
        </w:tc>
        <w:tc>
          <w:tcPr>
            <w:tcW w:w="900" w:type="dxa"/>
            <w:vAlign w:val="bottom"/>
          </w:tcPr>
          <w:p>
            <w:pPr>
              <w:jc w:val="center"/>
              <w:spacing w:after="0"/>
              <w:rPr>
                <w:sz w:val="20"/>
                <w:szCs w:val="20"/>
                <w:color w:val="auto"/>
              </w:rPr>
            </w:pPr>
            <w:r>
              <w:rPr>
                <w:rFonts w:ascii="Arial" w:cs="Arial" w:eastAsia="Arial" w:hAnsi="Arial"/>
                <w:sz w:val="11"/>
                <w:szCs w:val="11"/>
                <w:color w:val="008000"/>
                <w:w w:val="91"/>
              </w:rPr>
              <w:t>(11)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01/24/2024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right"/>
              <w:ind w:right="62"/>
              <w:spacing w:after="0"/>
              <w:rPr>
                <w:sz w:val="20"/>
                <w:szCs w:val="20"/>
                <w:color w:val="auto"/>
              </w:rPr>
            </w:pPr>
            <w:r>
              <w:rPr>
                <w:rFonts w:ascii="Arial" w:cs="Arial" w:eastAsia="Arial" w:hAnsi="Arial"/>
                <w:sz w:val="18"/>
                <w:szCs w:val="18"/>
                <w:color w:val="0000FF"/>
              </w:rPr>
              <w:t>2,700</w:t>
            </w:r>
          </w:p>
        </w:tc>
        <w:tc>
          <w:tcPr>
            <w:tcW w:w="880" w:type="dxa"/>
            <w:vAlign w:val="bottom"/>
          </w:tcPr>
          <w:p>
            <w:pPr>
              <w:ind w:left="240"/>
              <w:spacing w:after="0"/>
              <w:rPr>
                <w:sz w:val="20"/>
                <w:szCs w:val="20"/>
                <w:color w:val="auto"/>
              </w:rPr>
            </w:pPr>
            <w:r>
              <w:rPr>
                <w:rFonts w:ascii="Arial" w:cs="Arial" w:eastAsia="Arial" w:hAnsi="Arial"/>
                <w:sz w:val="18"/>
                <w:szCs w:val="18"/>
                <w:color w:val="0000FF"/>
              </w:rPr>
              <w:t>63.47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was awarded restricted stock units that will vest on January 26, 2019. Each restricted stock unit represents the contingent right to receive one share of common stock.</w:t>
      </w:r>
    </w:p>
    <w:p>
      <w:pPr>
        <w:spacing w:after="0" w:line="64" w:lineRule="exact"/>
        <w:rPr>
          <w:rFonts w:ascii="Arial" w:cs="Arial" w:eastAsia="Arial" w:hAnsi="Arial"/>
          <w:sz w:val="12"/>
          <w:szCs w:val="12"/>
          <w:color w:val="008000"/>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was awarded restricted stock units that will vest in two equal annual installments beginning on January 24, 2019. Each restricted stock unit represents the contingent right to receive one share of common stock.</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was awarded restricted stock units that will vest in three equal annual installments beginning on January 23, 2019. Each restricted stock unit represents the contingent right to receive one share of common stock.</w:t>
      </w:r>
    </w:p>
    <w:p>
      <w:pPr>
        <w:spacing w:after="0" w:line="30" w:lineRule="exact"/>
        <w:rPr>
          <w:rFonts w:ascii="Arial" w:cs="Arial" w:eastAsia="Arial" w:hAnsi="Arial"/>
          <w:sz w:val="14"/>
          <w:szCs w:val="14"/>
          <w:color w:val="008000"/>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minimum number of shares that will be issued to the reporting person upon the completion of the 2016-2018 performance cycle based upon partial satisfaction of vesting criteria for a performance based award.</w:t>
      </w:r>
    </w:p>
    <w:p>
      <w:pPr>
        <w:spacing w:after="0" w:line="30" w:lineRule="exact"/>
        <w:rPr>
          <w:rFonts w:ascii="Arial" w:cs="Arial" w:eastAsia="Arial" w:hAnsi="Arial"/>
          <w:sz w:val="14"/>
          <w:szCs w:val="14"/>
          <w:color w:val="008000"/>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minimum number of shares that will be issued to the reporting person upon the completion of the 2017-2019 performance cycle based upon partial satisfaction of vesting criteria for a performance based award.</w:t>
      </w:r>
    </w:p>
    <w:p>
      <w:pPr>
        <w:spacing w:after="0" w:line="30"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achievement of performance criteria, the reporting person was awarded restricted stock units that will vest on December 31, 2018. Each restricted stock unit represents the contingent right to receive one share of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four equal annual installments beginning January 23,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four equal annual installments beginning January 22,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four equal annual installments beginning January 21, 2016.</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four equal annual installments beginning January 26, 2017.</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Exercisable in four equal annual installments beginning January 24, 2018.</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Lynnette D. Schoenfeld</w:t>
            </w:r>
          </w:p>
        </w:tc>
        <w:tc>
          <w:tcPr>
            <w:tcW w:w="300" w:type="dxa"/>
            <w:vAlign w:val="bottom"/>
          </w:tcPr>
          <w:p>
            <w:pPr>
              <w:spacing w:after="0"/>
              <w:rPr>
                <w:sz w:val="17"/>
                <w:szCs w:val="17"/>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01/04/2019</w:t>
            </w:r>
          </w:p>
        </w:tc>
        <w:tc>
          <w:tcPr>
            <w:tcW w:w="0" w:type="dxa"/>
            <w:vAlign w:val="bottom"/>
          </w:tcPr>
          <w:p>
            <w:pPr>
              <w:spacing w:after="0"/>
              <w:rPr>
                <w:sz w:val="1"/>
                <w:szCs w:val="1"/>
                <w:color w:val="auto"/>
              </w:rPr>
            </w:pPr>
          </w:p>
        </w:tc>
      </w:tr>
      <w:tr>
        <w:trPr>
          <w:trHeight w:val="88"/>
        </w:trPr>
        <w:tc>
          <w:tcPr>
            <w:tcW w:w="19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8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4"/>
          <w:szCs w:val="24"/>
          <w:color w:val="auto"/>
        </w:rPr>
      </w:pPr>
    </w:p>
    <w:p>
      <w:pPr>
        <w:sectPr>
          <w:pgSz w:w="11900" w:h="16869" w:orient="portrait"/>
          <w:cols w:equalWidth="0" w:num="1">
            <w:col w:w="11420"/>
          </w:cols>
          <w:pgMar w:left="240" w:top="226" w:right="2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69"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40"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200" w:lineRule="exact"/>
        <w:rPr>
          <w:sz w:val="20"/>
          <w:szCs w:val="20"/>
          <w:color w:val="auto"/>
        </w:rPr>
      </w:pPr>
    </w:p>
    <w:p>
      <w:pPr>
        <w:spacing w:after="0" w:line="21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Roger N. Batkin, Lynnette D. Schoenfeld, Joseph Lewinski, and Lisa Schomaker, or any of them signing singly, and with full power of substitution, the undersigned's true and lawful attorney-in-fact to:</w:t>
      </w:r>
    </w:p>
    <w:p>
      <w:pPr>
        <w:spacing w:after="0" w:line="207" w:lineRule="exact"/>
        <w:rPr>
          <w:sz w:val="20"/>
          <w:szCs w:val="20"/>
          <w:color w:val="auto"/>
        </w:rPr>
      </w:pPr>
    </w:p>
    <w:p>
      <w:pPr>
        <w:ind w:right="1779" w:firstLine="535"/>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rules or regulations promulgated thereunder;</w:t>
      </w:r>
    </w:p>
    <w:p>
      <w:pPr>
        <w:spacing w:after="0" w:line="211" w:lineRule="exact"/>
        <w:rPr>
          <w:rFonts w:ascii="Courier New" w:cs="Courier New" w:eastAsia="Courier New" w:hAnsi="Courier New"/>
          <w:sz w:val="18"/>
          <w:szCs w:val="18"/>
          <w:color w:val="auto"/>
        </w:rPr>
      </w:pPr>
    </w:p>
    <w:p>
      <w:pPr>
        <w:ind w:right="1999" w:firstLine="535"/>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 on behalf of the undersigned, in the undersigned's capacity as an officer and/or director of AGCO Corporation (the "Company"), Forms 3, 4, and 5 in accordance with Section 16(a) of the Exchange Act and the rules and regulations promulgated thereunder;</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1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Exchange Act and the rules and regulations promulgated thereunder.</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The undersigned agrees that each of the attorneys-in-fact may rely entirely on information furnished orally or in writing by the undersigned to such attorney-in-fact. The undersigned also agrees to indemnify and hold harmless the Company and each attorney-in-fact against any losses, claims damages, or liabilities (or actions in these respects) that arise out of or are based upon any untrue statement or omission of necessary facts in the information provided by the undersigned to an attorney-in-fact for purposes of executing, acknowledging, delivering or filing a Form ID or Forms 3, 4, or 5 (including amendments thereto) and agrees to reimburse the Company and each attorney-in-fact for any legal or other expenses reasonably incurred in connection with investigating or defending against any such loss, claim, damages, liability, or action.</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17th day of December,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Josip T. Tomasevic</w:t>
      </w:r>
    </w:p>
    <w:p>
      <w:pPr>
        <w:ind w:left="4320"/>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133" w:gutter="0" w:footer="0" w:header="0"/>
        </w:sectPr>
      </w:pPr>
    </w:p>
    <w:bookmarkStart w:id="3" w:name="page4"/>
    <w:bookmarkEnd w:id="3"/>
    <w:p>
      <w:pPr>
        <w:ind w:left="3120"/>
        <w:spacing w:after="0"/>
        <w:rPr>
          <w:sz w:val="20"/>
          <w:szCs w:val="20"/>
          <w:color w:val="auto"/>
        </w:rPr>
      </w:pPr>
      <w:r>
        <w:rPr>
          <w:rFonts w:ascii="Courier New" w:cs="Courier New" w:eastAsia="Courier New" w:hAnsi="Courier New"/>
          <w:sz w:val="16"/>
          <w:szCs w:val="16"/>
          <w:color w:val="auto"/>
        </w:rPr>
        <w:t>Josip T. Tomasevic</w:t>
      </w:r>
    </w:p>
    <w:p>
      <w:pPr>
        <w:spacing w:after="0" w:line="16"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019"/>
      </w:cols>
      <w:pgMar w:left="14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62509" TargetMode="External"/><Relationship Id="rId12" Type="http://schemas.openxmlformats.org/officeDocument/2006/relationships/hyperlink" Target="http://www.sec.gov/cgi-bin/browse-edgar?action=getcompany&amp;CIK=00008802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2019-12-24T04:10:36Z</dcterms:created>
  <dcterms:modified xsi:type="dcterms:W3CDTF">2019-12-24T04:10:36Z</dcterms:modified>
</cp:coreProperties>
</file>