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4"/>
          <w:szCs w:val="24"/>
          <w:color w:val="auto"/>
        </w:rPr>
      </w:pPr>
    </w:p>
    <w:p>
      <w:pPr>
        <w:ind w:left="22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73"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Washington, D.C. 20549</w:t>
      </w:r>
    </w:p>
    <w:p>
      <w:pPr>
        <w:spacing w:after="0" w:line="373" w:lineRule="exact"/>
        <w:rPr>
          <w:sz w:val="24"/>
          <w:szCs w:val="24"/>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FORM 8-K</w:t>
      </w:r>
    </w:p>
    <w:p>
      <w:pPr>
        <w:spacing w:after="0" w:line="18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CURRENT REPORT</w:t>
      </w:r>
    </w:p>
    <w:p>
      <w:pPr>
        <w:spacing w:after="0" w:line="373"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88"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Date of Report (Date of earliest event reported) February 28, 1997</w:t>
      </w:r>
    </w:p>
    <w:p>
      <w:pPr>
        <w:spacing w:after="0" w:line="4" w:lineRule="exact"/>
        <w:rPr>
          <w:sz w:val="24"/>
          <w:szCs w:val="24"/>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AGCO Corporation</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8" w:right="1440" w:bottom="1440" w:gutter="0" w:footer="0" w:header="0"/>
        </w:sectPr>
      </w:pPr>
    </w:p>
    <w:p>
      <w:pPr>
        <w:spacing w:after="0" w:line="373"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4"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0-19898</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58-1960019</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2880" w:space="680"/>
            <w:col w:w="1300" w:space="720"/>
            <w:col w:w="4639"/>
          </w:cols>
          <w:pgMar w:left="240" w:top="238" w:right="1440" w:bottom="1440" w:gutter="0" w:footer="0" w:header="0"/>
          <w:type w:val="continuous"/>
        </w:sectPr>
      </w:pPr>
    </w:p>
    <w:p>
      <w:pPr>
        <w:spacing w:after="0" w:line="173" w:lineRule="exact"/>
        <w:rPr>
          <w:sz w:val="24"/>
          <w:szCs w:val="24"/>
          <w:color w:val="auto"/>
        </w:rPr>
      </w:pPr>
    </w:p>
    <w:p>
      <w:pPr>
        <w:ind w:left="280"/>
        <w:spacing w:after="0"/>
        <w:tabs>
          <w:tab w:leader="none" w:pos="6120" w:val="left"/>
        </w:tabs>
        <w:rPr>
          <w:sz w:val="20"/>
          <w:szCs w:val="20"/>
          <w:color w:val="auto"/>
        </w:rPr>
      </w:pPr>
      <w:r>
        <w:rPr>
          <w:rFonts w:ascii="Courier New" w:cs="Courier New" w:eastAsia="Courier New" w:hAnsi="Courier New"/>
          <w:sz w:val="16"/>
          <w:szCs w:val="16"/>
          <w:color w:val="auto"/>
        </w:rPr>
        <w:t>4830 River Green Parkway, Duluth, Georgia</w:t>
      </w:r>
      <w:r>
        <w:rPr>
          <w:sz w:val="20"/>
          <w:szCs w:val="20"/>
          <w:color w:val="auto"/>
        </w:rPr>
        <w:tab/>
      </w:r>
      <w:r>
        <w:rPr>
          <w:rFonts w:ascii="Courier New" w:cs="Courier New" w:eastAsia="Courier New" w:hAnsi="Courier New"/>
          <w:sz w:val="16"/>
          <w:szCs w:val="16"/>
          <w:color w:val="auto"/>
        </w:rPr>
        <w:t>30136</w:t>
      </w:r>
    </w:p>
    <w:p>
      <w:pPr>
        <w:sectPr>
          <w:pgSz w:w="11900" w:h="16838" w:orient="portrait"/>
          <w:cols w:equalWidth="0" w:num="1">
            <w:col w:w="10219"/>
          </w:cols>
          <w:pgMar w:left="240" w:top="238" w:right="1440" w:bottom="1440"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3" w:lineRule="exact"/>
        <w:rPr>
          <w:sz w:val="24"/>
          <w:szCs w:val="24"/>
          <w:color w:val="auto"/>
        </w:rPr>
      </w:pPr>
    </w:p>
    <w:p>
      <w:pPr>
        <w:ind w:left="380"/>
        <w:spacing w:after="0"/>
        <w:tabs>
          <w:tab w:leader="none" w:pos="594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19"/>
          </w:cols>
          <w:pgMar w:left="240" w:top="238" w:right="1440" w:bottom="1440" w:gutter="0" w:footer="0" w:header="0"/>
          <w:type w:val="continuous"/>
        </w:sectPr>
      </w:pP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(770) 813-9200</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800" w:space="0"/>
            <w:col w:w="5419"/>
          </w:cols>
          <w:pgMar w:left="240" w:top="238" w:right="1440" w:bottom="1440" w:gutter="0" w:footer="0" w:header="0"/>
          <w:type w:val="continuous"/>
        </w:sectPr>
      </w:pPr>
    </w:p>
    <w:p>
      <w:pPr>
        <w:spacing w:after="0" w:line="175"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This document consists of 53 pages</w:t>
      </w:r>
    </w:p>
    <w:p>
      <w:pPr>
        <w:spacing w:after="0" w:line="198" w:lineRule="exact"/>
        <w:rPr>
          <w:sz w:val="24"/>
          <w:szCs w:val="24"/>
          <w:color w:val="auto"/>
        </w:rPr>
      </w:pPr>
    </w:p>
    <w:p>
      <w:pPr>
        <w:ind w:left="2300"/>
        <w:spacing w:after="0"/>
        <w:rPr>
          <w:sz w:val="20"/>
          <w:szCs w:val="20"/>
          <w:color w:val="auto"/>
        </w:rPr>
      </w:pPr>
      <w:r>
        <w:rPr>
          <w:rFonts w:ascii="Courier New" w:cs="Courier New" w:eastAsia="Courier New" w:hAnsi="Courier New"/>
          <w:sz w:val="16"/>
          <w:szCs w:val="16"/>
          <w:color w:val="auto"/>
        </w:rPr>
        <w:t>The Exhibit Index is at page 4.</w:t>
      </w:r>
    </w:p>
    <w:p>
      <w:pPr>
        <w:sectPr>
          <w:pgSz w:w="11900" w:h="16838" w:orient="portrait"/>
          <w:cols w:equalWidth="0" w:num="1">
            <w:col w:w="10219"/>
          </w:cols>
          <w:pgMar w:left="240"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tab/>
        <w:t>Other Events.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AGCO Corporation's Management's Discussion and Analysis of Financial Condition and Results of Operations for the years ended December 31, 1996, 1995 and 1994 and its Consolidated Financial Statements as of December 31, 1996 and 1995 and for the years ended December 31, 1996, 1995 and 1994 are attached hereto as Exhibits 99.1 and 99.2, respectively.</w:t>
      </w:r>
    </w:p>
    <w:p>
      <w:pPr>
        <w:spacing w:after="0" w:line="3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7.</w:t>
        <w:tab/>
        <w:t>Financial Statements and Exhibits.</w:t>
      </w:r>
    </w:p>
    <w:p>
      <w:pPr>
        <w:spacing w:after="0" w:line="188" w:lineRule="exact"/>
        <w:rPr>
          <w:sz w:val="20"/>
          <w:szCs w:val="20"/>
          <w:color w:val="auto"/>
        </w:rPr>
      </w:pPr>
    </w:p>
    <w:p>
      <w:pPr>
        <w:ind w:left="1640" w:hanging="777"/>
        <w:spacing w:after="0"/>
        <w:tabs>
          <w:tab w:leader="none" w:pos="16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0" w:lineRule="exact"/>
        <w:rPr>
          <w:rFonts w:ascii="Courier New" w:cs="Courier New" w:eastAsia="Courier New" w:hAnsi="Courier New"/>
          <w:sz w:val="16"/>
          <w:szCs w:val="16"/>
          <w:color w:val="auto"/>
        </w:rPr>
      </w:pPr>
    </w:p>
    <w:p>
      <w:pPr>
        <w:ind w:left="2880" w:right="2639" w:hanging="1249"/>
        <w:spacing w:after="0" w:line="26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99.1 -</w:t>
      </w:r>
      <w:r>
        <w:rPr>
          <w:rFonts w:ascii="Courier New" w:cs="Courier New" w:eastAsia="Courier New" w:hAnsi="Courier New"/>
          <w:sz w:val="15"/>
          <w:szCs w:val="15"/>
          <w:color w:val="auto"/>
        </w:rPr>
        <w:t>Management's Discussion and Analysis of Financial Condition and Results of Operations for the years ended December 31, 1996, 1995 and 1994</w:t>
      </w:r>
    </w:p>
    <w:p>
      <w:pPr>
        <w:spacing w:after="0" w:line="171" w:lineRule="exact"/>
        <w:rPr>
          <w:rFonts w:ascii="Courier New" w:cs="Courier New" w:eastAsia="Courier New" w:hAnsi="Courier New"/>
          <w:sz w:val="16"/>
          <w:szCs w:val="16"/>
          <w:color w:val="auto"/>
        </w:rPr>
      </w:pPr>
    </w:p>
    <w:p>
      <w:pPr>
        <w:ind w:left="2880" w:right="2719" w:hanging="124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99.2 -Consolidated Financial Statements as of December 31, 1996 and 1995 and for the years ended December 31, 1996, 1995 and 1994</w:t>
      </w:r>
    </w:p>
    <w:p>
      <w:pPr>
        <w:spacing w:after="0" w:line="186" w:lineRule="exact"/>
        <w:rPr>
          <w:rFonts w:ascii="Courier New" w:cs="Courier New" w:eastAsia="Courier New" w:hAnsi="Courier New"/>
          <w:sz w:val="16"/>
          <w:szCs w:val="16"/>
          <w:color w:val="auto"/>
        </w:rPr>
      </w:pPr>
    </w:p>
    <w:p>
      <w:pPr>
        <w:ind w:left="1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99.3  -Consent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SIGNATURE</w:t>
      </w:r>
    </w:p>
    <w:p>
      <w:pPr>
        <w:spacing w:after="0" w:line="375"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37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AGCO CORPORATION</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300" w:right="1440" w:bottom="1440" w:gutter="0" w:footer="0" w:header="0"/>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28, 1997</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Chris E. Perkins</w:t>
      </w:r>
    </w:p>
    <w:p>
      <w:pPr>
        <w:spacing w:after="0" w:line="15" w:lineRule="exact"/>
        <w:rPr>
          <w:sz w:val="20"/>
          <w:szCs w:val="20"/>
          <w:color w:val="auto"/>
        </w:rPr>
      </w:pPr>
    </w:p>
    <w:p>
      <w:pPr>
        <w:sectPr>
          <w:pgSz w:w="11900" w:h="16838" w:orient="portrait"/>
          <w:cols w:equalWidth="0" w:num="2">
            <w:col w:w="3220" w:space="720"/>
            <w:col w:w="6279"/>
          </w:cols>
          <w:pgMar w:left="240" w:top="300"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Chris E. Perkins</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Vice President and Chief</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type w:val="continuous"/>
        </w:sectPr>
      </w:pPr>
    </w:p>
    <w:bookmarkStart w:id="3" w:name="page4"/>
    <w:bookmarkEnd w:id="3"/>
    <w:p>
      <w:pPr>
        <w:ind w:left="180"/>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119"/>
          </w:cols>
          <w:pgMar w:left="340" w:top="300" w:right="1440" w:bottom="1440" w:gutter="0" w:footer="0" w:header="0"/>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Number and Description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100" w:space="720"/>
            <w:col w:w="3299"/>
          </w:cols>
          <w:pgMar w:left="340" w:top="300" w:right="1440" w:bottom="1440" w:gutter="0" w:footer="0" w:header="0"/>
          <w:type w:val="continuous"/>
        </w:sectPr>
      </w:pPr>
    </w:p>
    <w:p>
      <w:pPr>
        <w:ind w:right="2639"/>
        <w:spacing w:after="0" w:line="242" w:lineRule="auto"/>
        <w:rPr>
          <w:sz w:val="20"/>
          <w:szCs w:val="20"/>
          <w:color w:val="auto"/>
        </w:rPr>
      </w:pPr>
      <w:r>
        <w:rPr>
          <w:rFonts w:ascii="Courier New" w:cs="Courier New" w:eastAsia="Courier New" w:hAnsi="Courier New"/>
          <w:sz w:val="16"/>
          <w:szCs w:val="16"/>
          <w:color w:val="auto"/>
        </w:rPr>
        <w:t>99.1 - Management's Discussion and Analysis of Financial Condition and Results of Operations for the years ended December 31, 1996, 1995 and 1994</w:t>
      </w:r>
    </w:p>
    <w:p>
      <w:pPr>
        <w:spacing w:after="0" w:line="374"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99.2 - Consolidated Financial Statements as of December 31, 1996 and 1995 and for the years ended December 31, 1996, 1995 and 1994</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99.3 - 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19"/>
          </w:cols>
          <w:pgMar w:left="340" w:top="300"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99.1</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During the periods discussed below, the Company's results of operations were significantly affected by a series of acquisitions that expanded the size and geographic scope of its distribution network, enabled it to offer new products and increased its manufacturing capacity. Primarily as a result of these acquisitions, revenues increased from $1,359.0 million in 1994 to $2,317.5 million in 1996. The results of operations for the years ended December 31, 1994, 1995 and 1996 were affected by the following transactions completed by the Company:</w:t>
      </w:r>
    </w:p>
    <w:p>
      <w:pPr>
        <w:spacing w:after="0" w:line="189" w:lineRule="exact"/>
        <w:rPr>
          <w:sz w:val="20"/>
          <w:szCs w:val="20"/>
          <w:color w:val="auto"/>
        </w:rPr>
      </w:pPr>
    </w:p>
    <w:p>
      <w:pPr>
        <w:ind w:left="680" w:right="2639" w:hanging="201"/>
        <w:spacing w:after="0" w:line="265" w:lineRule="auto"/>
        <w:tabs>
          <w:tab w:leader="none" w:pos="6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1993, the Company acquired the White-New Idea Farm Equipment Division from Allied Products Corporation which added a line of farm implements including planters, spreaders and tillage equipment to the Company's wide range of products (the "White-New Idea Acquisition").</w:t>
      </w:r>
    </w:p>
    <w:p>
      <w:pPr>
        <w:spacing w:after="0" w:line="173" w:lineRule="exact"/>
        <w:rPr>
          <w:rFonts w:ascii="Courier New" w:cs="Courier New" w:eastAsia="Courier New" w:hAnsi="Courier New"/>
          <w:sz w:val="15"/>
          <w:szCs w:val="15"/>
          <w:color w:val="auto"/>
        </w:rPr>
      </w:pPr>
    </w:p>
    <w:p>
      <w:pPr>
        <w:ind w:left="680" w:right="2639" w:hanging="201"/>
        <w:spacing w:after="0" w:line="244" w:lineRule="auto"/>
        <w:tabs>
          <w:tab w:leader="none" w:pos="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acquired Agricredit Acceptance Company ("Agricredit"), a retail finance company, from Varity Corporation ("Varity") in two separate transactions (together, the "Agricredit Acquisition"). The Company acquired a 50% joint venture interest in Agricredit in January 1993 and acquired the remaining 50% interest in February 1994. The Agricredit Acquisition enabled the Company to provide flexible financing alternatives to end users in North America as well as to provide an additional source of income to the Company.</w:t>
      </w:r>
    </w:p>
    <w:p>
      <w:pPr>
        <w:spacing w:after="0" w:line="188" w:lineRule="exact"/>
        <w:rPr>
          <w:rFonts w:ascii="Courier New" w:cs="Courier New" w:eastAsia="Courier New" w:hAnsi="Courier New"/>
          <w:sz w:val="16"/>
          <w:szCs w:val="16"/>
          <w:color w:val="auto"/>
        </w:rPr>
      </w:pPr>
    </w:p>
    <w:p>
      <w:pPr>
        <w:ind w:left="680" w:right="2539" w:hanging="201"/>
        <w:spacing w:after="0" w:line="244" w:lineRule="auto"/>
        <w:tabs>
          <w:tab w:leader="none" w:pos="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1994, the Company acquired from Varity the outstanding stock of Massey Ferguson Group Limited ("Massey"), a producer of one of the top selling brands of tractors sold worldwide, and certain related assets (the "Massey Acquisition"). The Massey Acquisition significantly expanded the Company's sales and operations outside of North America.</w:t>
      </w:r>
    </w:p>
    <w:p>
      <w:pPr>
        <w:spacing w:after="0" w:line="187" w:lineRule="exact"/>
        <w:rPr>
          <w:rFonts w:ascii="Courier New" w:cs="Courier New" w:eastAsia="Courier New" w:hAnsi="Courier New"/>
          <w:sz w:val="16"/>
          <w:szCs w:val="16"/>
          <w:color w:val="auto"/>
        </w:rPr>
      </w:pPr>
    </w:p>
    <w:p>
      <w:pPr>
        <w:ind w:left="680" w:right="2539" w:hanging="201"/>
        <w:spacing w:after="0" w:line="264" w:lineRule="auto"/>
        <w:tabs>
          <w:tab w:leader="none" w:pos="6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1995, the Company further expanded its product offerings through its acquisition of AgEquipment Group, a manufacturer and distributor of farm implements and tillage equipment (the "AgEquipment Acquisition"), and its agreement to become the exclusive distributor of Landini tractors in the United States and Canada (the "Landini Distribution Agreement").</w:t>
      </w:r>
    </w:p>
    <w:p>
      <w:pPr>
        <w:spacing w:after="0" w:line="174" w:lineRule="exact"/>
        <w:rPr>
          <w:rFonts w:ascii="Courier New" w:cs="Courier New" w:eastAsia="Courier New" w:hAnsi="Courier New"/>
          <w:sz w:val="15"/>
          <w:szCs w:val="15"/>
          <w:color w:val="auto"/>
        </w:rPr>
      </w:pPr>
    </w:p>
    <w:p>
      <w:pPr>
        <w:ind w:left="680" w:right="3019" w:hanging="201"/>
        <w:spacing w:after="0" w:line="243" w:lineRule="auto"/>
        <w:tabs>
          <w:tab w:leader="none" w:pos="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1996, the Company acquired the agricultural and industrial equipment business of Iochpe-Maxion S.A. (the "Maxion Acquisition"), which expanded its product offerings and its distribution network in South America, particularly in Brazil.</w:t>
      </w:r>
    </w:p>
    <w:p>
      <w:pPr>
        <w:spacing w:after="0" w:line="189" w:lineRule="exact"/>
        <w:rPr>
          <w:rFonts w:ascii="Courier New" w:cs="Courier New" w:eastAsia="Courier New" w:hAnsi="Courier New"/>
          <w:sz w:val="16"/>
          <w:szCs w:val="16"/>
          <w:color w:val="auto"/>
        </w:rPr>
      </w:pPr>
    </w:p>
    <w:p>
      <w:pPr>
        <w:ind w:left="680" w:right="2639" w:hanging="201"/>
        <w:spacing w:after="0" w:line="244" w:lineRule="auto"/>
        <w:tabs>
          <w:tab w:leader="none" w:pos="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1996, the Company acquired certain assets of Western Combine Corporation and Portage Manufacturing, Inc., which were the Company's suppliers of Massey Ferguson combines and certain other harvesting equipment sold in North America (the "Western Combine Acquisition"). The Western Combine Acquisition provided the Company with access to advanced technology and will increase the Company's profit margin on certain combines and harvesting equipment sold in North America.</w:t>
      </w:r>
    </w:p>
    <w:p>
      <w:pPr>
        <w:spacing w:after="0" w:line="188" w:lineRule="exact"/>
        <w:rPr>
          <w:rFonts w:ascii="Courier New" w:cs="Courier New" w:eastAsia="Courier New" w:hAnsi="Courier New"/>
          <w:sz w:val="16"/>
          <w:szCs w:val="16"/>
          <w:color w:val="auto"/>
        </w:rPr>
      </w:pPr>
    </w:p>
    <w:p>
      <w:pPr>
        <w:ind w:left="680" w:right="2539" w:hanging="201"/>
        <w:spacing w:after="0" w:line="244" w:lineRule="auto"/>
        <w:tabs>
          <w:tab w:leader="none" w:pos="6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November 1996, the Company sold a 51% interest in Agricredit to a wholly-owned subsidiary of Cooperatieve Centrale Raiffeisen-Boerenleenbank B.A., "Rabobank Nederland" ("Rabobank") (the "Agricredit Sale"). The Company retained a 49% interest in Agricredit and now operates the finance company with Rabobank as a joint venture (the "Agricredit Joint Venture").</w:t>
      </w:r>
    </w:p>
    <w:p>
      <w:pPr>
        <w:spacing w:after="0" w:line="188" w:lineRule="exact"/>
        <w:rPr>
          <w:sz w:val="20"/>
          <w:szCs w:val="20"/>
          <w:color w:val="auto"/>
        </w:rPr>
      </w:pPr>
    </w:p>
    <w:p>
      <w:pPr>
        <w:jc w:val="both"/>
        <w:ind w:right="2819" w:firstLine="480"/>
        <w:spacing w:after="0" w:line="243" w:lineRule="auto"/>
        <w:rPr>
          <w:sz w:val="20"/>
          <w:szCs w:val="20"/>
          <w:color w:val="auto"/>
        </w:rPr>
      </w:pPr>
      <w:r>
        <w:rPr>
          <w:rFonts w:ascii="Courier New" w:cs="Courier New" w:eastAsia="Courier New" w:hAnsi="Courier New"/>
          <w:sz w:val="16"/>
          <w:szCs w:val="16"/>
          <w:color w:val="auto"/>
        </w:rPr>
        <w:t>As a result of these transactions, the historical results of the Company are not comparable from year to year in the periods presented and may not be indicative of future performance.</w:t>
      </w:r>
    </w:p>
    <w:p>
      <w:pPr>
        <w:spacing w:after="0" w:line="189"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Recently, the Company has completed two additional acquisitions which will affect the Company's future results of operations:</w:t>
      </w:r>
    </w:p>
    <w:p>
      <w:pPr>
        <w:spacing w:after="0" w:line="189" w:lineRule="exact"/>
        <w:rPr>
          <w:sz w:val="20"/>
          <w:szCs w:val="20"/>
          <w:color w:val="auto"/>
        </w:rPr>
      </w:pPr>
    </w:p>
    <w:p>
      <w:pPr>
        <w:ind w:left="580" w:right="2539" w:hanging="101"/>
        <w:spacing w:after="0" w:line="265" w:lineRule="auto"/>
        <w:tabs>
          <w:tab w:leader="none" w:pos="67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1996, the Company further enhanced its market presence in Argentina and South America by acquiring the operations of Deutz Argentina S.A. ("Deutz Argentina"), a manufacturer and distributor of agricultural equipment, engines and trucks to Argentina and other markets in South</w:t>
      </w:r>
    </w:p>
    <w:p>
      <w:pPr>
        <w:sectPr>
          <w:pgSz w:w="11900" w:h="16838" w:orient="portrait"/>
          <w:cols w:equalWidth="0" w:num="1">
            <w:col w:w="10219"/>
          </w:cols>
          <w:pgMar w:left="240" w:top="140" w:right="1440" w:bottom="1440" w:gutter="0" w:footer="0" w:header="0"/>
        </w:sectPr>
      </w:pPr>
    </w:p>
    <w:p>
      <w:pPr>
        <w:spacing w:after="0" w:line="1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0"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2</w:t>
      </w:r>
    </w:p>
    <w:p>
      <w:pPr>
        <w:spacing w:after="0" w:line="190" w:lineRule="exact"/>
        <w:rPr>
          <w:sz w:val="20"/>
          <w:szCs w:val="20"/>
          <w:color w:val="auto"/>
        </w:rPr>
      </w:pPr>
    </w:p>
    <w:p>
      <w:pPr>
        <w:ind w:left="580" w:right="2639"/>
        <w:spacing w:after="0" w:line="243" w:lineRule="auto"/>
        <w:rPr>
          <w:sz w:val="20"/>
          <w:szCs w:val="20"/>
          <w:color w:val="auto"/>
        </w:rPr>
      </w:pPr>
      <w:r>
        <w:rPr>
          <w:rFonts w:ascii="Courier New" w:cs="Courier New" w:eastAsia="Courier New" w:hAnsi="Courier New"/>
          <w:sz w:val="16"/>
          <w:szCs w:val="16"/>
          <w:color w:val="auto"/>
        </w:rPr>
        <w:t>America (the "Deutz Argentina Acquisition"). The Deutz Argentina Acquisition had no effect on the results of operations for the year ended December 31, 1996.</w:t>
      </w:r>
    </w:p>
    <w:p>
      <w:pPr>
        <w:spacing w:after="0" w:line="187" w:lineRule="exact"/>
        <w:rPr>
          <w:sz w:val="20"/>
          <w:szCs w:val="20"/>
          <w:color w:val="auto"/>
        </w:rPr>
      </w:pPr>
    </w:p>
    <w:p>
      <w:pPr>
        <w:ind w:left="680" w:hanging="201"/>
        <w:spacing w:after="0"/>
        <w:tabs>
          <w:tab w:leader="none" w:pos="6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1997, the Company acquired the operations of Xaver Fendt GmbH</w:t>
      </w:r>
    </w:p>
    <w:p>
      <w:pPr>
        <w:spacing w:after="0" w:line="5" w:lineRule="exact"/>
        <w:rPr>
          <w:rFonts w:ascii="Courier New" w:cs="Courier New" w:eastAsia="Courier New" w:hAnsi="Courier New"/>
          <w:sz w:val="16"/>
          <w:szCs w:val="16"/>
          <w:color w:val="auto"/>
        </w:rPr>
      </w:pPr>
    </w:p>
    <w:p>
      <w:pPr>
        <w:ind w:left="580" w:right="2639" w:hanging="5"/>
        <w:spacing w:after="0" w:line="244" w:lineRule="auto"/>
        <w:tabs>
          <w:tab w:leader="none" w:pos="77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KG ("Fendt"), a manufacturer and distributor of tractors, primarily in Germany and throughout Europe (the "Fendt Acquisition"). The Fendt Acquisition added a new line of tractors to the Company's product offerings and expanded the Company's market presence in Europe, particularly in Germany.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Sales are recorded by the Company when equipment and replacement parts are shipped by the Company to its independent dealers, distributors or other customers. To the extent possible, the Company attempts to ship products to its dealers and distributors on a level basis throughout the year to reduce the effect of seasonal demands on its manufacturing operations and to minimize its investment in inventory. Retail sales by dealers to farmers are highly seasonal and are a function of the timing of the planting and harvesting seasons. In certain markets, particularly in North America, there is often a time lag, generally from one to twelve months between the date the Company records a sale (a "billing") and the date a dealer sells the equipment to a farmer (a "settlement"). During this time lag between a billing and a settlement, dealers may not return equipment to the Company unless the Company terminates a dealer's contract or agrees to accept returned products. Commissions payable under the Company's salesman incentive programs are paid at the time of settlement, as opposed to when products are billed. Due to fluctuations in dealer inventory levels, settlements are more indicative of retail demand than billings.</w:t>
      </w:r>
    </w:p>
    <w:p>
      <w:pPr>
        <w:spacing w:after="0" w:line="36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Effective November 1, 1996, the Company completed the Agricredit Sale. Accordingly, the Company's consolidated financial statements as of and for the year ended December 31, 1996 reflect Agricredit on the equity method of accounting for the entire period presented. The consolidated financial statements as of December 31, 1995 and 1994 and for the year ended December 31, 1995 and for the period from February 11, 1994 to December 31, 1994 reflect Agricredit on a consolidated basis with the Company's other majority-owned subsidiaries. As a result of the change in the basis of presentation, the historical results of the Company are not comparable from year to year.</w:t>
      </w:r>
    </w:p>
    <w:p>
      <w:pPr>
        <w:spacing w:after="0" w:line="189"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The consolidated financial statements include, on a separate, supplemental basis, the Company's Equipment Operations, and for 1995 and for the period from February 11, 1994 to December 31, 1994, its Finance Company. "Equipment Operations" reflect the consolidation of all operations of the Company and its majority-owned subsidiaries with the exception of Agricredit, which is included using the equity method of accounting. For the year ended December 31, 1995 and for the period from February 11, 1994 to December 31, 1994, the results of operations of Agricredit are included under the caption "Finance Company."</w:t>
      </w:r>
    </w:p>
    <w:p>
      <w:pPr>
        <w:spacing w:after="0" w:line="17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6" w:name="page7"/>
    <w:bookmarkEnd w:id="6"/>
    <w:p>
      <w:pPr>
        <w:ind w:left="281"/>
        <w:spacing w:after="0"/>
        <w:rPr>
          <w:sz w:val="20"/>
          <w:szCs w:val="20"/>
          <w:color w:val="auto"/>
        </w:rPr>
      </w:pPr>
      <w:r>
        <w:rPr>
          <w:rFonts w:ascii="Courier New" w:cs="Courier New" w:eastAsia="Courier New" w:hAnsi="Courier New"/>
          <w:sz w:val="16"/>
          <w:szCs w:val="16"/>
          <w:color w:val="auto"/>
        </w:rPr>
        <w:t>3</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The following table sets forth, for the periods indicated, the percentage relationship to revenues of certain items included in the Company's Consolidated Statements of Income:</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1640" w:type="dxa"/>
            <w:vAlign w:val="bottom"/>
            <w:gridSpan w:val="2"/>
          </w:tcPr>
          <w:p>
            <w:pPr>
              <w:jc w:val="center"/>
              <w:ind w:left="400"/>
              <w:spacing w:after="0"/>
              <w:rPr>
                <w:sz w:val="20"/>
                <w:szCs w:val="20"/>
                <w:color w:val="auto"/>
              </w:rPr>
            </w:pPr>
            <w:r>
              <w:rPr>
                <w:rFonts w:ascii="Courier New" w:cs="Courier New" w:eastAsia="Courier New" w:hAnsi="Courier New"/>
                <w:sz w:val="16"/>
                <w:szCs w:val="16"/>
                <w:color w:val="auto"/>
                <w:w w:val="99"/>
              </w:rPr>
              <w:t>YEAR ENDED</w:t>
            </w:r>
          </w:p>
        </w:tc>
        <w:tc>
          <w:tcPr>
            <w:tcW w:w="560" w:type="dxa"/>
            <w:vAlign w:val="bottom"/>
          </w:tcPr>
          <w:p>
            <w:pPr>
              <w:spacing w:after="0"/>
              <w:rPr>
                <w:sz w:val="15"/>
                <w:szCs w:val="15"/>
                <w:color w:val="auto"/>
              </w:rPr>
            </w:pPr>
          </w:p>
        </w:tc>
      </w:tr>
      <w:tr>
        <w:trPr>
          <w:trHeight w:val="185"/>
        </w:trPr>
        <w:tc>
          <w:tcPr>
            <w:tcW w:w="5860" w:type="dxa"/>
            <w:vAlign w:val="bottom"/>
          </w:tcPr>
          <w:p>
            <w:pPr>
              <w:spacing w:after="0"/>
              <w:rPr>
                <w:sz w:val="16"/>
                <w:szCs w:val="16"/>
                <w:color w:val="auto"/>
              </w:rPr>
            </w:pPr>
          </w:p>
        </w:tc>
        <w:tc>
          <w:tcPr>
            <w:tcW w:w="1640" w:type="dxa"/>
            <w:vAlign w:val="bottom"/>
            <w:gridSpan w:val="2"/>
          </w:tcPr>
          <w:p>
            <w:pPr>
              <w:jc w:val="center"/>
              <w:ind w:left="400"/>
              <w:spacing w:after="0"/>
              <w:rPr>
                <w:sz w:val="20"/>
                <w:szCs w:val="20"/>
                <w:color w:val="auto"/>
              </w:rPr>
            </w:pPr>
            <w:r>
              <w:rPr>
                <w:rFonts w:ascii="Courier New" w:cs="Courier New" w:eastAsia="Courier New" w:hAnsi="Courier New"/>
                <w:sz w:val="16"/>
                <w:szCs w:val="16"/>
                <w:color w:val="auto"/>
              </w:rPr>
              <w:t>DECEMBER 31,</w:t>
            </w:r>
          </w:p>
        </w:tc>
        <w:tc>
          <w:tcPr>
            <w:tcW w:w="560" w:type="dxa"/>
            <w:vAlign w:val="bottom"/>
          </w:tcPr>
          <w:p>
            <w:pPr>
              <w:spacing w:after="0"/>
              <w:rPr>
                <w:sz w:val="16"/>
                <w:szCs w:val="16"/>
                <w:color w:val="auto"/>
              </w:rPr>
            </w:pPr>
          </w:p>
        </w:tc>
      </w:tr>
      <w:tr>
        <w:trPr>
          <w:trHeight w:val="185"/>
        </w:trPr>
        <w:tc>
          <w:tcPr>
            <w:tcW w:w="586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1994</w:t>
            </w:r>
          </w:p>
        </w:tc>
        <w:tc>
          <w:tcPr>
            <w:tcW w:w="880" w:type="dxa"/>
            <w:vAlign w:val="bottom"/>
          </w:tcPr>
          <w:p>
            <w:pPr>
              <w:jc w:val="center"/>
              <w:ind w:right="220"/>
              <w:spacing w:after="0"/>
              <w:rPr>
                <w:sz w:val="20"/>
                <w:szCs w:val="20"/>
                <w:color w:val="auto"/>
              </w:rPr>
            </w:pPr>
            <w:r>
              <w:rPr>
                <w:rFonts w:ascii="Courier New" w:cs="Courier New" w:eastAsia="Courier New" w:hAnsi="Courier New"/>
                <w:sz w:val="16"/>
                <w:szCs w:val="16"/>
                <w:color w:val="auto"/>
                <w:w w:val="98"/>
              </w:rPr>
              <w:t>1995</w:t>
            </w:r>
          </w:p>
        </w:tc>
        <w:tc>
          <w:tcPr>
            <w:tcW w:w="5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3"/>
              </w:rPr>
              <w:t>1996</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sales.................................................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97.1%</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97.3%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100.0%</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Finance income............................................</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2.7</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100.0</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100.0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100.0</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Cost of goods sold(1).....................................</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76.7</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76.6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79.7</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9.5</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Engineering expenses......................................</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expense, net.....................................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expense, net........................................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0.3</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Nonrecurring expenses.....................................</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92.5</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91.0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92.6</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Income before income taxes, equity in net earnings of</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5860" w:type="dxa"/>
            <w:vAlign w:val="bottom"/>
          </w:tcPr>
          <w:p>
            <w:pPr>
              <w:jc w:val="right"/>
              <w:ind w:right="4240"/>
              <w:spacing w:after="0"/>
              <w:rPr>
                <w:sz w:val="20"/>
                <w:szCs w:val="20"/>
                <w:color w:val="auto"/>
              </w:rPr>
            </w:pPr>
            <w:r>
              <w:rPr>
                <w:rFonts w:ascii="Courier New" w:cs="Courier New" w:eastAsia="Courier New" w:hAnsi="Courier New"/>
                <w:sz w:val="16"/>
                <w:szCs w:val="16"/>
                <w:color w:val="auto"/>
              </w:rPr>
              <w:t>unconsolidated</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affiliates and extraordinary loss.........................</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7.5</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Provision (benefit) for income taxes........................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Income before equity in net earnings of unconsolidated</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affiliates and extraordinary loss.........................</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8.3</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Equity in net earnings of unconsolidated affiliates.........</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0.2</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before extraordinary loss............................</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8.5</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Extraordinary loss, net of taxes............................</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Net income..................................................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5"/>
        </w:trPr>
        <w:tc>
          <w:tcPr>
            <w:tcW w:w="586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381" w:right="2819" w:hanging="381"/>
        <w:spacing w:after="0" w:line="244" w:lineRule="auto"/>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of goods sold as a percent of net sales for the years ended December 31, 1994, 1995 and 1996 was 79.1%, 78.7%, and 79.7%, respectively. Gross profit, which is defined as net sales less cost of goods sold, was 20.9%, 21.3% and 20.3% for the years ended December 31, 1994, 1995 and 1996, respectively.</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YEAR ENDED DECEMBER 31, 1996 COMPARED TO YEAR ENDED DECEMBER 31, 1995</w:t>
      </w:r>
    </w:p>
    <w:p>
      <w:pPr>
        <w:spacing w:after="0" w:line="18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Net Income</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Company recorded net income for the year ended December 31, 1996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$125.9 million compared to $129.1 million for the year ended December 31, 1995.</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Net income per common share on a fully diluted basis was $2.20 for 1996 compared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$2.30 for 1995. Net income for 1996 included nonrecurring expenses of $15.0</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million, or $0.17 per share on a fully diluted basis, primarily related to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further restructuring of the Company's European operations, acquired in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Massey Acquisition in June 1994, and the integration and restructuring of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Company's Brazilian operations, acquired in the Maxion Acquisition in June 1996</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(see "Charges for Nonrecurring Expenses"). In addition, net income for 1996</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included an extraordinary after-tax charge of $3.5 million, or $0.06 per share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on a fully diluted basis, for the write-off of unamortized debt costs related to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refinancing of the Company's $550.0 million secured revolving credit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facility (see "Liquidity and Capital Resources"), a gain on the Agricredit Sale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$4.7 million, or $0.05 per share on a fully diluted basis, and severance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costs including accelerated amortization of shares earned under the Company's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long-term incentive plan and related cash severance totaling $7.3 million, or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$0.08 per share on a fully diluted basis, related to the resignation of 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Company executive. Net income for 1995 included nonrecurring expenses of $6.0</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million, or $0.07 per share on a fully diluted basis, associated with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initial integration of the Massey Acquisition (see "Charges for Nonrecurring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Expenses"). The Company's results for the year ended December 31, 1996 were also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negatively impacted by losses, including the related financing costs, in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newly</w:t>
      </w:r>
    </w:p>
    <w:p>
      <w:pPr>
        <w:sectPr>
          <w:pgSz w:w="11900" w:h="16838" w:orient="portrait"/>
          <w:cols w:equalWidth="0" w:num="1">
            <w:col w:w="10221"/>
          </w:cols>
          <w:pgMar w:left="239" w:top="300" w:right="1440" w:bottom="641" w:gutter="0" w:footer="0" w:header="0"/>
        </w:sectPr>
      </w:pPr>
    </w:p>
    <w:p>
      <w:pPr>
        <w:spacing w:after="0" w:line="188"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300" w:right="1440" w:bottom="641"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4</w:t>
      </w:r>
    </w:p>
    <w:p>
      <w:pPr>
        <w:spacing w:after="0" w:line="190"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acquired Brazilian operations as a result of the poor industry conditions experienced in the region. Excluding the items discussed above, the Company's results of operations were improved over 1995, primarily the result of sales growth in existing markets.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Retail Sales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Conditions in the United States and Canadian agricultural markets were favorable in 1996 compared to 1995. Industry unit retail sales of tractors, combines and hay and forage equipment for 1996 increased approximately 7%, 6% and 2%, respectively, over 1995. The Company believes general market conditions were positive due to favorable economic conditions relating to high net cash farm incomes, strong commodity prices and increased export demand. Company unit retail sales of tractors in the United States and Canada were slightly above the industry in 1996 compared to 1995. The increase in tractor settlements was attributable to the favorable industry conditions and the impact of the Company's expanded dealer network, which resulted primarily from dealers entering into crossover contracts whereby an existing dealer carrying one of the Company's brands contracts to sell an additional AGCO brand. In addition, the Company has benefited from the successful acceptance of improved tractor product offerings, including the new Massey Ferguson high horsepower tractors which were introduced in the middle of 1995. Company unit retail sales of combines in the United States and Canada for 1996 increased 24% compared to 1995 primarily due to the Company's increased sales to contract harvesters and dealer development activities which strengthened the Company's dealer network for combines. Company hay and forage equipment retail sales increased in line with the industry.</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Industry conditions in Western Europe were favorable in 1996 with retail sales of tractors increasing approximately 12% compared to 1995 primarily due to higher net cash farm incomes, improved economic conditions, strong commodity prices and increased export demand. Retail sales of Massey Ferguson tractors in Western Europe increased approximately 15% over 1995 with the most significant market share increases in France, Spain and Scandinavia, primarily due to the Company's focus on dealer development. Outside North America and Western Europe, industry retail sales of tractors also showed gains in most markets where the Company competes due to a general improvement in economic conditions. Retail sales of Massey Ferguson tractors increased in these markets with significant growth in the Middle East, Africa, East Asia/Pacific and Australia compared to 1995, primarily due to improved market conditions and the Company's strong distribution channels in these regions. Company retail sales of tractors in Brazil were affected by industry conditions in Brazil which remained depressed throughout 1996 relative to historic volumes due to high farm debt levels and the suspension and subsequent reinstatement of Brazilian Central Bank loan programs.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Revenues</w:t>
      </w:r>
    </w:p>
    <w:p>
      <w:pPr>
        <w:spacing w:after="0" w:line="190" w:lineRule="exact"/>
        <w:rPr>
          <w:sz w:val="20"/>
          <w:szCs w:val="20"/>
          <w:color w:val="auto"/>
        </w:rPr>
      </w:pPr>
    </w:p>
    <w:p>
      <w:pPr>
        <w:ind w:right="2539" w:firstLine="480"/>
        <w:spacing w:after="0" w:line="260" w:lineRule="auto"/>
        <w:rPr>
          <w:sz w:val="20"/>
          <w:szCs w:val="20"/>
          <w:color w:val="auto"/>
        </w:rPr>
      </w:pPr>
      <w:r>
        <w:rPr>
          <w:rFonts w:ascii="Courier New" w:cs="Courier New" w:eastAsia="Courier New" w:hAnsi="Courier New"/>
          <w:sz w:val="15"/>
          <w:szCs w:val="15"/>
          <w:color w:val="auto"/>
        </w:rPr>
        <w:t>Net sales for the Company's Equipment Operations for 1996 increased 12.0% to $2,317.5 million compared to $2,068.4 million for 1995. A portion of the increase was the result of the Company's sales of $85.1 million in Brazil for the six months ended December 31, 1996 resulting from the Maxion Acquisition. The Company achieved net sales increases in 1996 in Western Europe of $63.8 million , or 7% over 1995. In the remaining international markets, the Company achieved net sales increases of $63.2 million, or 19% over 1995. The increase in Western Europe and other international markets primarily related to increased sales of tractors due to the Company's favorable retail sales performance and increased sales of combines and other non-tractor products resulting from the Company's successful efforts to expand non-tractor sales in all international markets. The Company also experienced increased net sales of $37.0 million, or</w:t>
      </w:r>
    </w:p>
    <w:p>
      <w:pPr>
        <w:spacing w:after="0" w:line="8"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4% over 1995, in North America primarily due to a 17% increase in the Company's North American retail dollar sales compared to 1995. Total revenues on a consolidated basis for 1995 also included finance income of $56.6 million associated with the operations of Agricredit.</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Costs and Expenses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Cost of good sold for the Company's Equipment Operations was $1,847.2 million (79.7% of net sales) for 1996 compared to $1,627.7 million (78.7% of net sales) for 1995. Gross profit, defined as net sales less cost of goods sold, was $470.3 million (20.3% of net sales) for 1996 as compared to $440.7 million (21.3% of net</w:t>
      </w:r>
    </w:p>
    <w:p>
      <w:pPr>
        <w:sectPr>
          <w:pgSz w:w="11900" w:h="16838" w:orient="portrait"/>
          <w:cols w:equalWidth="0" w:num="1">
            <w:col w:w="10219"/>
          </w:cols>
          <w:pgMar w:left="240" w:top="300" w:right="1440" w:bottom="1440" w:gutter="0" w:footer="0" w:header="0"/>
        </w:sectPr>
      </w:pP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sales) for 1995. Gross margins in 1996 were negatively impacted by the following: (i) lower margins related to the Brazilian operations acquired in the Maxion Acquisition due to low volumes related to depressed industry conditions and (ii) a change in the mix of products sold, particularly due to a lower mix of high margin North American replacement parts, a shift in North American sales from higher margin utility tractors (under 100 horsepower) to high horsepower tractors (over 100 horsepower) and increased sales of combines in Europe, which have lower than average margins.</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Selling, general and administrative expenses for the Company's Equipment Operations were $215.6 million (9.3% of net sales) for 1996 compared to $190.0 million (9.2% of net sales) for 1995. The increase in selling, general and administrative expenses was primarily due to an increase in sales volume and an increase in the amortization of stock-based compensation expense of $15.9 million compared to 1995 related to the Company's long-term incentive plan which is tied to stock price appreciation. Included in the stock-based compensation expense for 1996 was accelerated amortization of $5.8 million related to severance costs associated with the resignation of a Company executive. Excluding the amortization expense related to the long-term incentive plan, the Company's Equipment Operations had selling, general and administrative expenses of $189.8 million (8.2% of net sales) for 1996 and $180.0 million (8.7% of net sales) for 1995. The decrease in selling, general and administrative expenses as a percentage of net sales was primarily due to cost reduction initiatives in the Company's European operations. In connection with the Massey Acquisition, the Company implemented a restructuring plan which has eliminated duplicate costs by centralizing certain sales, marketing and administrative functions. See "Charges for Nonrecurring Expenses" for further discussion. On a consolidated basis for 1995, selling, general and administrative expenses were $203.9 million, which included $13.8 million related to the operations of Agricredit.</w:t>
      </w:r>
    </w:p>
    <w:p>
      <w:pPr>
        <w:spacing w:after="0" w:line="18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Engineering expenses for the Company's Equipment Operations were $27.7 million (1.2% of net sales) for 1996 compared to $24.1 million (1.2% of net sales) for 1995. The increase in engineering expenses compared to 1995 primarily related to the development of new products including a new Massey Ferguson utility tractor line to be introduced in 1997.</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expense, net for the Company's Equipment Operations was $32.7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1996 compared to $31.5 million for 1995. The increase in interest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 net was primarily due to the additional borrowings associated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of the Maxion Acquisition and higher fixed interest rates associated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8 1/2% Senior Subordinated Notes which were issued in March 1996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compared to the floating rates on the Company's revolving credit facility.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financed the entire purchase price for the Maxion Acquisition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indebtedness. On a consolidated basis, interest expense, net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$63.2 million for 1995, which included $31.7 million relating to the operations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Agricredit.</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Other expense, net was $7.6 million for 1996 compared to $9.6 million for 1995. The decrease in other expense, net was primarily due to the gain recorded on the Agricredit Sale in 1996 and foreign exchange gains recorded in 1996 compared to foreign exchange losses in 1995 related to the Company's international operations. The decrease in other expense, net was partially offset by increased amortization of intangible assets resulting from the Maxion and Western Combine Acquisitions.</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Nonrecurring expenses were $15.0 million in 1996 compared to $6.0 million in 1995. The nonrecurring charge recorded in 1996 related to the further restructuring of the Company's European operations, acquired in the Massey Acquisition in June 1994 and the integration and restructuring of the Brazilian operations, acquired in the Maxion Acquisition in June 1996. The 1995 nonrecurring charge primarily related to the initial integration and restructuring of the Company's European operations. See "Charges for Nonrecurring Expenses" for further discussion.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recorded a net income tax provision for the Company's Equipment Operations of $60.0 million for 1996 compared to $61.6 million for 1995. On a consolidated basis, the Company recorded an income tax provision of $65.9 million for 1995, which included $4.3 million related to the operations of Agricredit. In 1996 and 1995, the Company's income tax provision approximated statutory rates, although actual income tax payments remained at rates below statutory rates resulting from the utilization of net operating loss carryforwards acquired in the Massey Acquisition. Primarily due to the availability of acquired net operating loss carryforwards, the Company expects to pay taxes in 1997 at effective rates substantially</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6</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below statutory rates. At December 31, 1996, the Company had net operating loss carryforwards totaling $171.3 million, primarily in France, Brazil and Argentina.</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Equity in net earnings of unconsolidated subsidiary and affiliates for the Company's Equipment Operations was $17.7 million in 1996 compared to $11.2 million in 1995. The increase in equity in net earnings of unconsolidated subsidiary and affiliates was primarily due to an increase in the Company's pro-rata share in net earnings of Agricredit from $6.8 million in 1995 to $10.4 million in 1996 despite the Company recognizing only 49% of the equity in net earnings of Agricredit from November 1, 1996 to December 31, 1996 as a result of the Agricredit Sale. In addition, the increase in equity in net earnings of unconsolidated subsidiary and affiliates related to the Company's pro-rata share in net earnings of certain equity investments in the European operations, including its 49% interest in Massey Ferguson Finance which provides retail financing to end users in the United Kingdom, France and Germany. On a consolidated basis, equity in net earnings of unconsolidated subsidiary and affiliates for 1995 was $4.5 million due to Agricredit being presented on a consolidated basis rather than the equity method of accounting.</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Finance Company Operations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November 1, 1996, the Company sold a 51% interest in Agricredit to Rabobank. The Company received total consideration of approximately $44.3 million in the transaction, the proceeds of which were used to repay borrowings under the Company's $650.0 million unsecured revolving credit facility. The Company retained a 49% interest in Agricredit and now operates the finance company with Rabobank as a joint venture. The Agricredit Joint Venture has continued the business of Agricredit and seeks to build a broader asset-based finance business through the addition of other lines of business. The Company's benefits from the transaction also include deleveraging the consolidated balance sheet by approximately $550.0 million and the redeployment of approximately $44.3 million of capital. The Company has similar joint venture arrangements with Rabobank and its affiliates with respect to its retail finance companies located in the United Kingdom, France and Germany.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1995 COMPARED TO YEAR ENDED DECEMBER 31, 1994</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 Income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recorded net income for the year ended December 31, 1995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$129.1 million compared to $115.5 million for the year ended December 31,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common share on a fully diluted basis was $2.30 for 1995 compared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$2.35 for 1994. Net income for 1995 included nonrecurring expenses of $6.0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or $0.07 per share on a fully diluted basis, primarily related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initial integration of the Massey Acquisition (see "Charges for Nonrecurring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Net income for 1994 included nonrecurring expenses of $19.5 million,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$0.33 per share on a fully diluted basis, associated with the integration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Massey and White-New Idea Acquisitions and a deferred income tax benefit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$29.9 million, or $0.61 per share on a fully diluted basis, relating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reduction of a portion of the deferred tax valuation allowance. Excluding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nonrecurring expenses and deferred income tax benefit, the improved results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reflected the impact of the Company's acquisitions, sales growth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existing product lines and improved operating efficiencies.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Retail Sales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Conditions in the United States and Canadian agricultural markets were generally favorable in 1995 compared to 1994. Industry unit retail sales of tractors and combines for 1995 increased 2% and 10%, respectively, over 1994. Unit settlements of hay and forage equipment decreased 6% compared to 1994. The Company believes the increases in the tractor and combine markets were primarily due to high net cash farm incomes, strong commodity prices, high replacement demand and aggressive marketing programs associated with competitors' introduction of new products. The decrease in hay and forage equipment unit settlements reflects the effects of a softening in cattle and dairy commodity prices during 1995.</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Company unit settlements of tractors in the United States and Canada increased in line with the industry retail unit sales for 1995 compared to 1994. The increase in tractor settlements was attributable to the</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7</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favorable industry conditions as well as the impact of the Company's expanded dealer network which resulted primarily from dealers entering into crossover contracts whereby an existing dealer carrying one of the Company's brands contracts to sell an additional AGCO brand. Company hay and forage equipment settlements were level in comparison to the prior year. This improvement in relation to the industry retail sales also reflected the benefit of an expanded dealer network which resulted from the Company's crossover contract strategy. Company unit settlements of combines in the United States and Canada for 1995 were approximately 8% below the prior year primarily due to aggressive marketing programs to introduce new products by certain of the Company's competitors and the discontinuance of certain retail incentive programs by the Company in the first six months of 1994 to move older, discontinued models.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Industry conditions in Western Europe were favorable in 1995 with retail sales of tractors increasing approximately 7% compared to 1994 primarily due to improved economic conditions, strong commodity prices and high export demand. Retail sales of Massey Ferguson tractors in Western Europe outperformed the industry by increasing approximately 14% over 1994. The Company experienced the most significant market share increases in France, Germany and Spain due to the Company's focus on dealer development and expansion. Additionally, the Company's successful introduction of the new Massey Ferguson high horsepower tractor line contributed to the market share increases, particularly in France. Outside North America and Western Europe, industry retail sales of tractors also showed gains in many markets where the Company competes due to a general improvement in economic conditions. Retail sales of Massey Ferguson tractors increased significantly in the Middle East and Eastern Europe compared to 1994 primarily due to favorable government incentive programs and improved funding sources in these regions. These gains were partially offset by decreased retail sales in Africa due to widespread drought conditions.</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Revenues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Total revenues for 1995 were $2,125.0 million representing an increase of $766.0 million, or 56.4%, over total revenues of $1,359.0 million for 1994. The increase was primarily attributable to sales in the Company's international markets as a result of the Massey Acquisition with increased net sales of $712.3 million for 1995. In addition to the full year impact of the Massey Acquisition, the increase reflects year over year sales increases due to the strong international retail sales achieved in the Company's Massey Ferguson products in 1995. The Company also experienced net sales increases of $36.8 million in 1995 in North America as a result of an expanded dealer network, the AgEquipment Acquisition, the Landini Distribution Agreement and new product introductions. The North American sales increase was partially offset by a decrease in replacement parts sales compared to 1994 as a result of a late planting season and smooth harvest which decreased demand on an industry-wide basis. Total revenues also increased in 1995 due to an increase in finance income of $16.9 million associated with the operations of Agricredit. The increase in finance income was primarily due to the growth in the Agricredit credit receivable portfolio as a result of Agricredit's increased penetration into the Company's North American dealer network and its expansion into the Canadian market. In addition, prior to the acquisition of the remaining 50% interest in Agricredit on February 10, 1994, the results of Agricredit were accounted for under the equity method of accounting and, accordingly, were not consolidated with those of the Company.</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Costs and Expenses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Cost of goods sold for the Company's Equipment Operations in 1995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$1,627.7 million (78.7% of net sales) compared to $1,042.9 million (79.1% of net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in 1994. Gross profit, defined as net sales less cost of goods sold, was</w:t>
      </w:r>
    </w:p>
    <w:p>
      <w:pPr>
        <w:spacing w:after="0" w:line="5"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$440.7 million (21.3% of net sales) for 1995 as compared to $276.3 million (20.9% of net sales) for 1994. The Company's gross profit margin increased in 1995 compared to 1994 despite a decrease in the proportion of higher margin part sales to total net sales. The change in sales mix occurred because the majority of the Company's sales growth in 1995 related to machinery sales. The negative effect of this change in sales mix on the gross profit margin was primarily offset by the Company's ability to record the entire gross profit on Massey Ferguson equipment sold in North America as a result of the Massey Acquisition. Prior to the Massey Acquisition, the gross profit margin on sales of Massey Ferguson equipment in North America was recognized by both the Company and by Varity. In addition, the Company's gross profit margin benefited from</w:t>
      </w:r>
    </w:p>
    <w:p>
      <w:pPr>
        <w:sectPr>
          <w:pgSz w:w="11900" w:h="16838" w:orient="portrait"/>
          <w:cols w:equalWidth="0" w:num="1">
            <w:col w:w="10219"/>
          </w:cols>
          <w:pgMar w:left="240" w:top="300" w:right="1440" w:bottom="1440" w:gutter="0" w:footer="0" w:header="0"/>
        </w:sectPr>
      </w:pPr>
    </w:p>
    <w:p>
      <w:pPr>
        <w:spacing w:after="0" w:line="17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8</w:t>
      </w:r>
    </w:p>
    <w:p>
      <w:pPr>
        <w:spacing w:after="0" w:line="190" w:lineRule="exact"/>
        <w:rPr>
          <w:sz w:val="20"/>
          <w:szCs w:val="20"/>
          <w:color w:val="auto"/>
        </w:rPr>
      </w:pPr>
    </w:p>
    <w:p>
      <w:pPr>
        <w:jc w:val="both"/>
        <w:ind w:right="3019"/>
        <w:spacing w:after="0" w:line="243" w:lineRule="auto"/>
        <w:rPr>
          <w:sz w:val="20"/>
          <w:szCs w:val="20"/>
          <w:color w:val="auto"/>
        </w:rPr>
      </w:pPr>
      <w:r>
        <w:rPr>
          <w:rFonts w:ascii="Courier New" w:cs="Courier New" w:eastAsia="Courier New" w:hAnsi="Courier New"/>
          <w:sz w:val="16"/>
          <w:szCs w:val="16"/>
          <w:color w:val="auto"/>
        </w:rPr>
        <w:t>the introduction of the new high horsepower Massey Ferguson tractor line in Western Europe and cost reduction efforts related to the integration of the Company's European operations acquired in the Massey Acquisition.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Selling, general and administrative expenses for 1995 were $203.9 million (9.6% of total revenues) compared to $129.5 million (9.5% of total revenues) for 1994. The decrease in selling, general and administrative expenses as a percentage of total revenues was primarily due to cost reduction initiatives in the Company's European operations and lower operating expenses as a percentage of total revenues related to Agricredit. These improvements as a percentage of total revenues were partially offset by increased amortization of long-term incentive compensation related to restricted stock awards tied to stock price appreciation. In connection with the Massey Acquisition, the Company implemented a restructuring plan which has eliminated duplicate costs by centralizing certain sales, marketing and administrative functions. See "Charges for Nonrecurring Expenses" for further discussion. Excluding Agricredit, the Company's Equipment Operations had selling, general and administrative expenses of $190.0 million (9.2% of net sales) and $117.7 million (8.9% of net sales) for 1995 and 1994, respectively. The increase as a percentage of net sales was primarily the result of the increased amortization of restricted stock awards offset by cost reductions in the Company's European operations as discussed above.</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Engineering expenses for the Company's Equipment Operations were $24.1 million (1.2% of net sales) for 1995 compared to $19.4 million (1.5% of net sales) for 1994. The higher engineering expenses as a percentage of net sales in 1994 primarily related to the redesign of the Massey Ferguson 6100/8100 series high horsepower tractors introduced in early 1995.</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Interest expense, net for 1995 was $63.2 million compared to $42.8 million for 1994. The increase in interest expense, net was primarily due to the additional borrowings associated with the Massey and the AgEquipment Acquisitions. The Company financed the entire purchase price for the AgEquipment Acquisition and a portion of the purchase price for the Massey Acquisition with additional indebtedness. In addition, interest expense, net increased at Agricredit due to the additional borrowings associated with the increase in the credit receivable portfolio and an increase in the rates charged on outstanding borrowings.</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Other expense, net was $9.6 million for 1995 compared to $3.1 million for 1994. The increase in other expense, net was primarily due to increased amortization of intangible assets as a result of the Massey Acquisition and foreign exchange losses related to the Company's international operations.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Nonrecurring expenses were $6.0 million in 1995 and $19.5 million in 1994. The nonrecurring charge recorded in 1995 primarily related to costs associated with the initial integration of the Company's European operations, acquired in the Massey Acquisition in June 1994. The 1994 nonrecurring charge related to the initial integration in Europe and the integration in North America of White-New Idea, which was acquired in December 1993. See "Charges for Nonrecurring Expenses" for further discussion.</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recorded a net income tax provision of $65.9 million for 1995 and a net income tax benefit of $10.6 million in 1994. In 1995, the Company's income tax provision approximated statutory rates. The 1994 net income tax benefit included a $29.9 million United States deferred income tax benefit related to a reduction of a portion of the deferred tax valuation allowance. The reduction in the valuation allowance was supported by the Company's generation of taxable income in recent years and expectations of taxable income in future periods. The United States income tax benefit was partially offset by a foreign income tax provision of $19.3 million consisting primarily of a deferred income tax provision which resulted from the realization of deferred tax assets relating to net operating loss carryforwards acquired in the Massey Acquisition. Primarily due to the availability of acquired net operating loss carryforwards , the Company paid taxes in 1994 and 1995 at effective rates substantially below statutory rates.</w:t>
      </w:r>
    </w:p>
    <w:p>
      <w:pPr>
        <w:spacing w:after="0" w:line="192"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Equity in net earnings of unconsolidated subsidiary and affiliates on a consolidated basis was $4.5 million in 1995 and $3.2 million in 1994. The increase in equity in net earnings of unconsolidated subsidiary and affiliates was primarily due to the inclusion in 1994 of the Company's pro-rata share in net earnings of its 49% interest in Massey Ferguson Finance, acquired in the Massey Acquisition in June 1994. The amount recognized for 1994 includes the Company's pro-rata share of net earnings in Agricredit from January 1, 1994</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0" w:right="1440" w:bottom="1440" w:gutter="0" w:footer="0" w:header="0"/>
          <w:type w:val="continuous"/>
        </w:sectPr>
      </w:pPr>
    </w:p>
    <w:bookmarkStart w:id="12" w:name="page13"/>
    <w:bookmarkEnd w:id="12"/>
    <w:p>
      <w:pPr>
        <w:ind w:left="281"/>
        <w:spacing w:after="0"/>
        <w:rPr>
          <w:sz w:val="20"/>
          <w:szCs w:val="20"/>
          <w:color w:val="auto"/>
        </w:rPr>
      </w:pPr>
      <w:r>
        <w:rPr>
          <w:rFonts w:ascii="Courier New" w:cs="Courier New" w:eastAsia="Courier New" w:hAnsi="Courier New"/>
          <w:sz w:val="16"/>
          <w:szCs w:val="16"/>
          <w:color w:val="auto"/>
        </w:rPr>
        <w:t>9</w:t>
      </w:r>
    </w:p>
    <w:p>
      <w:pPr>
        <w:spacing w:after="0" w:line="190"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through February 10, 1994. From February 11, 1994 through December 31, 1994, the results of operations of Agricredit were consolidated with the Company's operations and were no longer accounted for under the equity method of accounting.</w:t>
      </w:r>
    </w:p>
    <w:p>
      <w:pPr>
        <w:spacing w:after="0" w:line="18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Finance Company Operations</w:t>
      </w:r>
    </w:p>
    <w:p>
      <w:pPr>
        <w:spacing w:after="0" w:line="190"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Agricredit recorded net income of $6.8 million for 1995 and $4.9 million for the period from the acquisition date to December 31, 1994. Retail acceptances were approximately $362.7 million for 1995 compared to $321.6 million for 1994. The increase was primarily the result of Agricredit's increased penetration into the Company's North American dealer network and its expansion into the Canadian market.</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QUARTERLY RESULTS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To the extent possible, the Company attempts to ship products to its dealers on a level basis throughout the year to reduce the effect of seasonal demands on its manufacturing operations and to minimize its investment in inventory. However, settlements of agricultural equipment are highly seasonal, with farmers traditionally purchasing agricultural equipment in the spring and fall in conjunction with the major planting and harvesting seasons. The Company's net sales and income from operations have historically been the lowest in the first quarter and have increased in subsequent quarters as dealers increase inventory in anticipation of increased retail sales in the third and fourth quarters.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following table presents unaudited interim operating results of the Company. The Company believes that the following information includes all adjustments (consisting only of normal, recurring adjustments) that the Company considers necessary for a fair presentation, in accordance with generally accepted accounting principles. The operating results for any interim period are not necessarily indicative of results for any future interim period or the entire fiscal year.</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4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THREE MONTHS ENDED</w:t>
            </w:r>
          </w:p>
        </w:tc>
        <w:tc>
          <w:tcPr>
            <w:tcW w:w="1880" w:type="dxa"/>
            <w:vAlign w:val="bottom"/>
          </w:tcPr>
          <w:p>
            <w:pPr>
              <w:spacing w:after="0"/>
              <w:rPr>
                <w:sz w:val="15"/>
                <w:szCs w:val="15"/>
                <w:color w:val="auto"/>
              </w:rPr>
            </w:pPr>
          </w:p>
        </w:tc>
      </w:tr>
      <w:tr>
        <w:trPr>
          <w:trHeight w:val="185"/>
        </w:trPr>
        <w:tc>
          <w:tcPr>
            <w:tcW w:w="2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80" w:type="dxa"/>
            <w:vAlign w:val="bottom"/>
            <w:gridSpan w:val="4"/>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2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MARCH 31</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JUNE 30</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SEPTEMBER 30</w:t>
            </w:r>
          </w:p>
        </w:tc>
        <w:tc>
          <w:tcPr>
            <w:tcW w:w="18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2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6"/>
              </w:rPr>
              <w:t>--------</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2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80" w:type="dxa"/>
            <w:vAlign w:val="bottom"/>
            <w:gridSpan w:val="4"/>
          </w:tcPr>
          <w:p>
            <w:pPr>
              <w:jc w:val="right"/>
              <w:ind w:right="1380"/>
              <w:spacing w:after="0"/>
              <w:rPr>
                <w:sz w:val="20"/>
                <w:szCs w:val="20"/>
                <w:color w:val="auto"/>
              </w:rPr>
            </w:pPr>
            <w:r>
              <w:rPr>
                <w:rFonts w:ascii="Courier New" w:cs="Courier New" w:eastAsia="Courier New" w:hAnsi="Courier New"/>
                <w:sz w:val="16"/>
                <w:szCs w:val="16"/>
                <w:color w:val="auto"/>
              </w:rPr>
              <w:t>(IN THOUSANDS, EXCEPT PER SHARE DATA)</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1996:(1)</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85"/>
        </w:trPr>
        <w:tc>
          <w:tcPr>
            <w:tcW w:w="31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6"/>
              </w:rPr>
              <w:t>Net sales...............................</w:t>
            </w:r>
          </w:p>
        </w:tc>
        <w:tc>
          <w:tcPr>
            <w:tcW w:w="960" w:type="dxa"/>
            <w:vAlign w:val="bottom"/>
          </w:tcPr>
          <w:p>
            <w:pPr>
              <w:spacing w:after="0"/>
              <w:rPr>
                <w:sz w:val="16"/>
                <w:szCs w:val="16"/>
                <w:color w:val="auto"/>
              </w:rPr>
            </w:pPr>
          </w:p>
        </w:tc>
        <w:tc>
          <w:tcPr>
            <w:tcW w:w="14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$453,884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6"/>
              </w:rPr>
              <w:t>$584,681</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$588,859</w:t>
            </w:r>
          </w:p>
        </w:tc>
        <w:tc>
          <w:tcPr>
            <w:tcW w:w="188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$690,062</w:t>
            </w:r>
          </w:p>
        </w:tc>
      </w:tr>
      <w:tr>
        <w:trPr>
          <w:trHeight w:val="185"/>
        </w:trPr>
        <w:tc>
          <w:tcPr>
            <w:tcW w:w="31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6"/>
              </w:rPr>
              <w:t>Gross profit(2).........................</w:t>
            </w:r>
          </w:p>
        </w:tc>
        <w:tc>
          <w:tcPr>
            <w:tcW w:w="960" w:type="dxa"/>
            <w:vAlign w:val="bottom"/>
          </w:tcPr>
          <w:p>
            <w:pPr>
              <w:spacing w:after="0"/>
              <w:rPr>
                <w:sz w:val="16"/>
                <w:szCs w:val="16"/>
                <w:color w:val="auto"/>
              </w:rPr>
            </w:pPr>
          </w:p>
        </w:tc>
        <w:tc>
          <w:tcPr>
            <w:tcW w:w="14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93,740</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115,794</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123,540</w:t>
            </w:r>
          </w:p>
        </w:tc>
        <w:tc>
          <w:tcPr>
            <w:tcW w:w="188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137,246</w:t>
            </w: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w w:val="99"/>
              </w:rPr>
              <w:t>Income from operations(2)</w:t>
            </w:r>
          </w:p>
        </w:tc>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34,592(4)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59,617(4)</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54,068(4)</w:t>
            </w:r>
          </w:p>
        </w:tc>
        <w:tc>
          <w:tcPr>
            <w:tcW w:w="1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63,675(4)(6)</w:t>
            </w:r>
          </w:p>
        </w:tc>
      </w:tr>
      <w:tr>
        <w:trPr>
          <w:trHeight w:val="185"/>
        </w:trPr>
        <w:tc>
          <w:tcPr>
            <w:tcW w:w="41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Income before extraordinary loss........</w:t>
            </w: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20,595(4)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37,508(4)</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31,299(4)</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39,988(4)(6)(7)</w:t>
            </w:r>
          </w:p>
        </w:tc>
      </w:tr>
      <w:tr>
        <w:trPr>
          <w:trHeight w:val="185"/>
        </w:trPr>
        <w:tc>
          <w:tcPr>
            <w:tcW w:w="31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6"/>
              </w:rPr>
              <w:t>Net income..............................</w:t>
            </w:r>
          </w:p>
        </w:tc>
        <w:tc>
          <w:tcPr>
            <w:tcW w:w="9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17,092(4)(5)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37,508(4)</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31,299(4)</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39,988(4)(6)(7)</w:t>
            </w:r>
          </w:p>
        </w:tc>
      </w:tr>
      <w:tr>
        <w:trPr>
          <w:trHeight w:val="185"/>
        </w:trPr>
        <w:tc>
          <w:tcPr>
            <w:tcW w:w="41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Net income per common share before</w:t>
            </w: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5"/>
        </w:trPr>
        <w:tc>
          <w:tcPr>
            <w:tcW w:w="2600" w:type="dxa"/>
            <w:vAlign w:val="bottom"/>
          </w:tcPr>
          <w:p>
            <w:pPr>
              <w:ind w:left="480"/>
              <w:spacing w:after="0"/>
              <w:rPr>
                <w:sz w:val="20"/>
                <w:szCs w:val="20"/>
                <w:color w:val="auto"/>
              </w:rPr>
            </w:pPr>
            <w:r>
              <w:rPr>
                <w:rFonts w:ascii="Courier New" w:cs="Courier New" w:eastAsia="Courier New" w:hAnsi="Courier New"/>
                <w:sz w:val="16"/>
                <w:szCs w:val="16"/>
                <w:color w:val="auto"/>
              </w:rPr>
              <w:t>extraordinary loss --</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fully</w:t>
            </w:r>
          </w:p>
        </w:tc>
        <w:tc>
          <w:tcPr>
            <w:tcW w:w="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5"/>
        </w:trPr>
        <w:tc>
          <w:tcPr>
            <w:tcW w:w="31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74"/>
              </w:rPr>
              <w:t>diluted..............................</w:t>
            </w:r>
          </w:p>
        </w:tc>
        <w:tc>
          <w:tcPr>
            <w:tcW w:w="9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0.37(4)(5)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0.66(4)</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0.54(4)</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0.69(4)(6)(7)</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5"/>
        </w:trPr>
        <w:tc>
          <w:tcPr>
            <w:tcW w:w="31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6"/>
              </w:rPr>
              <w:t>Revenues................................</w:t>
            </w:r>
          </w:p>
        </w:tc>
        <w:tc>
          <w:tcPr>
            <w:tcW w:w="960" w:type="dxa"/>
            <w:vAlign w:val="bottom"/>
          </w:tcPr>
          <w:p>
            <w:pPr>
              <w:spacing w:after="0"/>
              <w:rPr>
                <w:sz w:val="16"/>
                <w:szCs w:val="16"/>
                <w:color w:val="auto"/>
              </w:rPr>
            </w:pPr>
          </w:p>
        </w:tc>
        <w:tc>
          <w:tcPr>
            <w:tcW w:w="14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$456,219</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6"/>
              </w:rPr>
              <w:t>$571,718</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$498,639</w:t>
            </w:r>
          </w:p>
        </w:tc>
        <w:tc>
          <w:tcPr>
            <w:tcW w:w="188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$598,472</w:t>
            </w:r>
          </w:p>
        </w:tc>
      </w:tr>
      <w:tr>
        <w:trPr>
          <w:trHeight w:val="185"/>
        </w:trPr>
        <w:tc>
          <w:tcPr>
            <w:tcW w:w="31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6"/>
              </w:rPr>
              <w:t>Gross profit(2).........................</w:t>
            </w:r>
          </w:p>
        </w:tc>
        <w:tc>
          <w:tcPr>
            <w:tcW w:w="960" w:type="dxa"/>
            <w:vAlign w:val="bottom"/>
          </w:tcPr>
          <w:p>
            <w:pPr>
              <w:spacing w:after="0"/>
              <w:rPr>
                <w:sz w:val="16"/>
                <w:szCs w:val="16"/>
                <w:color w:val="auto"/>
              </w:rPr>
            </w:pPr>
          </w:p>
        </w:tc>
        <w:tc>
          <w:tcPr>
            <w:tcW w:w="14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93,198</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117,444</w:t>
            </w:r>
          </w:p>
        </w:tc>
        <w:tc>
          <w:tcPr>
            <w:tcW w:w="14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112,793</w:t>
            </w:r>
          </w:p>
        </w:tc>
        <w:tc>
          <w:tcPr>
            <w:tcW w:w="1880" w:type="dxa"/>
            <w:vAlign w:val="bottom"/>
          </w:tcPr>
          <w:p>
            <w:pPr>
              <w:jc w:val="right"/>
              <w:ind w:right="800"/>
              <w:spacing w:after="0"/>
              <w:rPr>
                <w:sz w:val="20"/>
                <w:szCs w:val="20"/>
                <w:color w:val="auto"/>
              </w:rPr>
            </w:pPr>
            <w:r>
              <w:rPr>
                <w:rFonts w:ascii="Courier New" w:cs="Courier New" w:eastAsia="Courier New" w:hAnsi="Courier New"/>
                <w:sz w:val="16"/>
                <w:szCs w:val="16"/>
                <w:color w:val="auto"/>
              </w:rPr>
              <w:t>117,276</w:t>
            </w: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w w:val="99"/>
              </w:rPr>
              <w:t>Income from operations(2)</w:t>
            </w:r>
          </w:p>
        </w:tc>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41,957(4)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61,973(4)</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60,693(4)</w:t>
            </w:r>
          </w:p>
        </w:tc>
        <w:tc>
          <w:tcPr>
            <w:tcW w:w="18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55,986(4)</w:t>
            </w:r>
          </w:p>
        </w:tc>
      </w:tr>
      <w:tr>
        <w:trPr>
          <w:trHeight w:val="185"/>
        </w:trPr>
        <w:tc>
          <w:tcPr>
            <w:tcW w:w="31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6"/>
              </w:rPr>
              <w:t>Net income..............................</w:t>
            </w:r>
          </w:p>
        </w:tc>
        <w:tc>
          <w:tcPr>
            <w:tcW w:w="96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23,384(4)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35,888(4)</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36,195(4)</w:t>
            </w:r>
          </w:p>
        </w:tc>
        <w:tc>
          <w:tcPr>
            <w:tcW w:w="18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33,675(4)</w:t>
            </w:r>
          </w:p>
        </w:tc>
      </w:tr>
      <w:tr>
        <w:trPr>
          <w:trHeight w:val="185"/>
        </w:trPr>
        <w:tc>
          <w:tcPr>
            <w:tcW w:w="31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income per common share --</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fully</w:t>
            </w: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5"/>
        </w:trPr>
        <w:tc>
          <w:tcPr>
            <w:tcW w:w="31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74"/>
              </w:rPr>
              <w:t>diluted(3)...........................</w:t>
            </w:r>
          </w:p>
        </w:tc>
        <w:tc>
          <w:tcPr>
            <w:tcW w:w="960" w:type="dxa"/>
            <w:vAlign w:val="bottom"/>
          </w:tcPr>
          <w:p>
            <w:pPr>
              <w:spacing w:after="0"/>
              <w:rPr>
                <w:sz w:val="16"/>
                <w:szCs w:val="16"/>
                <w:color w:val="auto"/>
              </w:rPr>
            </w:pPr>
          </w:p>
        </w:tc>
        <w:tc>
          <w:tcPr>
            <w:tcW w:w="14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0.42(4)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0.64(4)</w:t>
            </w:r>
          </w:p>
        </w:tc>
        <w:tc>
          <w:tcPr>
            <w:tcW w:w="14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0.64(4)</w:t>
            </w:r>
          </w:p>
        </w:tc>
        <w:tc>
          <w:tcPr>
            <w:tcW w:w="18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0.60(4)</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381" w:right="2639" w:hanging="381"/>
        <w:spacing w:after="0" w:line="243"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Agricredit Sale, the 1996 operating results are restated for each quarter presented to reflect Agricredit on the equity method of accounting.</w:t>
      </w:r>
    </w:p>
    <w:p>
      <w:pPr>
        <w:spacing w:after="0" w:line="3" w:lineRule="exact"/>
        <w:rPr>
          <w:rFonts w:ascii="Courier New" w:cs="Courier New" w:eastAsia="Courier New" w:hAnsi="Courier New"/>
          <w:sz w:val="16"/>
          <w:szCs w:val="16"/>
          <w:color w:val="auto"/>
        </w:rPr>
      </w:pPr>
    </w:p>
    <w:p>
      <w:pPr>
        <w:ind w:left="381" w:right="2639" w:hanging="381"/>
        <w:spacing w:after="0" w:line="243"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profit is defined as net sales less cost of goods sold, and income from operations is defined as net sales less cost of goods sold, selling, general and administrative expenses for the Company's Equipment Operations, engineering expenses and nonrecurring expenses.</w:t>
      </w:r>
    </w:p>
    <w:p>
      <w:pPr>
        <w:spacing w:after="0" w:line="5" w:lineRule="exact"/>
        <w:rPr>
          <w:rFonts w:ascii="Courier New" w:cs="Courier New" w:eastAsia="Courier New" w:hAnsi="Courier New"/>
          <w:sz w:val="16"/>
          <w:szCs w:val="16"/>
          <w:color w:val="auto"/>
        </w:rPr>
      </w:pPr>
    </w:p>
    <w:p>
      <w:pPr>
        <w:ind w:left="381" w:right="3019" w:hanging="381"/>
        <w:spacing w:after="0" w:line="242"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share-fully diluted has been restated for 1995 to reflect the two-for-one stock split, effected January 31, 1996.</w:t>
      </w:r>
    </w:p>
    <w:p>
      <w:pPr>
        <w:spacing w:after="0" w:line="4" w:lineRule="exact"/>
        <w:rPr>
          <w:rFonts w:ascii="Courier New" w:cs="Courier New" w:eastAsia="Courier New" w:hAnsi="Courier New"/>
          <w:sz w:val="16"/>
          <w:szCs w:val="16"/>
          <w:color w:val="auto"/>
        </w:rPr>
      </w:pPr>
    </w:p>
    <w:p>
      <w:pPr>
        <w:jc w:val="both"/>
        <w:ind w:left="381" w:right="2539" w:hanging="381"/>
        <w:spacing w:after="0" w:line="243"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1996 operating results include nonrecurring expenses of $5.9 million, or $0.07 per share, for the three months ended March 31, 1996, $0.8 million, or $0.01 per share, for the three months ended June 30,</w:t>
      </w:r>
    </w:p>
    <w:p>
      <w:pPr>
        <w:sectPr>
          <w:pgSz w:w="11900" w:h="16838" w:orient="portrait"/>
          <w:cols w:equalWidth="0" w:num="1">
            <w:col w:w="10221"/>
          </w:cols>
          <w:pgMar w:left="239" w:top="300" w:right="1440" w:bottom="1440"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300" w:right="1440" w:bottom="1440" w:gutter="0" w:footer="0" w:header="0"/>
          <w:type w:val="continuous"/>
        </w:sectPr>
      </w:pPr>
    </w:p>
    <w:bookmarkStart w:id="13" w:name="page14"/>
    <w:bookmarkEnd w:id="13"/>
    <w:p>
      <w:pPr>
        <w:ind w:left="281"/>
        <w:spacing w:after="0"/>
        <w:rPr>
          <w:sz w:val="20"/>
          <w:szCs w:val="20"/>
          <w:color w:val="auto"/>
        </w:rPr>
      </w:pPr>
      <w:r>
        <w:rPr>
          <w:rFonts w:ascii="Courier New" w:cs="Courier New" w:eastAsia="Courier New" w:hAnsi="Courier New"/>
          <w:sz w:val="16"/>
          <w:szCs w:val="16"/>
          <w:color w:val="auto"/>
        </w:rPr>
        <w:t>10</w:t>
      </w:r>
    </w:p>
    <w:p>
      <w:pPr>
        <w:spacing w:after="0" w:line="190" w:lineRule="exact"/>
        <w:rPr>
          <w:sz w:val="20"/>
          <w:szCs w:val="20"/>
          <w:color w:val="auto"/>
        </w:rPr>
      </w:pPr>
    </w:p>
    <w:p>
      <w:pPr>
        <w:ind w:left="381" w:right="2539"/>
        <w:spacing w:after="0" w:line="244" w:lineRule="auto"/>
        <w:rPr>
          <w:sz w:val="20"/>
          <w:szCs w:val="20"/>
          <w:color w:val="auto"/>
        </w:rPr>
      </w:pPr>
      <w:r>
        <w:rPr>
          <w:rFonts w:ascii="Courier New" w:cs="Courier New" w:eastAsia="Courier New" w:hAnsi="Courier New"/>
          <w:sz w:val="16"/>
          <w:szCs w:val="16"/>
          <w:color w:val="auto"/>
        </w:rPr>
        <w:t>1996, $6.2 million, or $0.07 per share, for the three months ended September 30, 1996 and $2.1 million, or $0.02 per share, for the three months ended December 31, 1996. The 1995 operating results include nonrecurring expenses of $2.0 million, or $0.02 per share, for the three months ended March 31, 1995, $1.7 million, or $0.02 per share, for the three months ended June 30, 1995, $0.9 million, or $0.01 per share, for the three months ended September 30, 1995 and $1.4 million, or $0.02 per share, for the three months ended December 31, 1995.</w:t>
      </w:r>
    </w:p>
    <w:p>
      <w:pPr>
        <w:spacing w:after="0" w:line="4" w:lineRule="exact"/>
        <w:rPr>
          <w:sz w:val="20"/>
          <w:szCs w:val="20"/>
          <w:color w:val="auto"/>
        </w:rPr>
      </w:pPr>
    </w:p>
    <w:p>
      <w:pPr>
        <w:ind w:left="381" w:right="2539" w:hanging="381"/>
        <w:spacing w:after="0" w:line="243" w:lineRule="auto"/>
        <w:tabs>
          <w:tab w:leader="none" w:pos="3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1996 operating results include an extraordinary after-tax charge of $3.5 million, or $0.06 per share, for the write-off of unamortized debt costs related to the refinancing of the Company's $550.0 million revolving credit facility for the three months ended March 31, 1996.</w:t>
      </w:r>
    </w:p>
    <w:p>
      <w:pPr>
        <w:spacing w:after="0" w:line="5" w:lineRule="exact"/>
        <w:rPr>
          <w:rFonts w:ascii="Courier New" w:cs="Courier New" w:eastAsia="Courier New" w:hAnsi="Courier New"/>
          <w:sz w:val="16"/>
          <w:szCs w:val="16"/>
          <w:color w:val="auto"/>
        </w:rPr>
      </w:pPr>
    </w:p>
    <w:p>
      <w:pPr>
        <w:ind w:left="381" w:right="2719" w:hanging="381"/>
        <w:spacing w:after="0" w:line="243" w:lineRule="auto"/>
        <w:tabs>
          <w:tab w:leader="none" w:pos="3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1996 operating results include severance costs related to a Company executive of $7.3 million, or $0.08 per share, for the three months ended December 31, 1996 which includes accelerated amortization of shares earned under the Company's long-term incentive plan and related cash severance.</w:t>
      </w:r>
    </w:p>
    <w:p>
      <w:pPr>
        <w:spacing w:after="0" w:line="5" w:lineRule="exact"/>
        <w:rPr>
          <w:rFonts w:ascii="Courier New" w:cs="Courier New" w:eastAsia="Courier New" w:hAnsi="Courier New"/>
          <w:sz w:val="16"/>
          <w:szCs w:val="16"/>
          <w:color w:val="auto"/>
        </w:rPr>
      </w:pPr>
    </w:p>
    <w:p>
      <w:pPr>
        <w:jc w:val="both"/>
        <w:ind w:left="381" w:right="2719" w:hanging="381"/>
        <w:spacing w:after="0" w:line="243" w:lineRule="auto"/>
        <w:tabs>
          <w:tab w:leader="none" w:pos="3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1996 operating results include a gain on the sale of a 51% interest in Agricredit of $4.7 million, or $0.05 per share, for the three months ended December 31, 1996.</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The Company's financing requirements for its Equipment Operations are subject to variations due to seasonal changes in inventory and dealer receivable levels. Internally generated funds are supplemented when necessary from external sources primarily from the Company's revolving credit facility.</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March 1996, the Company replaced its $550.0 million secured revolving credit facility (the "June 1994 Credit Facility"), obtained in conjunction with the Massey Acquisition in June 1994, with a $650.0 million unsecured revolving credit facility (the "March 1996 Credit Facility"). The March 1996 Credit Facility provided the Company's Equipment Operations with increased borrowing capacity over the June 1994 Credit Facility. As of December 31, 1996, approximately $317.4 million was outstanding under the March 1996 Credit Facility and available borrowings were approximately $310.6 million. The Company used borrowings from the March 1996 Credit Facility to finance the Maxion and Deutz Argentina Acquisitions. The Company's borrowings under revolving credit facilities decreased $60.9 million from December 31, 1995 to December 31, 1996 primarily due to the repayment of outstanding borrowings with proceeds from the Company's issuance of $250.0 million of 8 1/2% Senior Subordinated Notes in March 1996 and from the sale of a 51% interest in Agricredit to Rabobank. Total long-term debt for the Company's Equipment Operations increased from $378.3 million at December 31, 1995 to $567.1 million at December 31, 1996. The increase in long-term debt was due to the financing of the Maxion, Western Combine and Deutz Argentina Acquisitions, partially offset by the use of operating cash flow to repay indebtedness.</w:t>
      </w:r>
    </w:p>
    <w:p>
      <w:pPr>
        <w:spacing w:after="0" w:line="194"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On January 14, 1997, the Company replaced the March 1996 Credit Facility with a new revolving credit facility (the "January 1997 Credit Facility"), which initially provided for borrowings of up to $1.0 billion. In February 1997, the January 1997 Credit Facility was amended to allow for borrowings of up to $1.2 billion. The January 1997 Credit Facility will be the Company's primary source of financing for its Equipment Operations and will provide increased borrowing capacity over the March 1996 Credit Facility. Borrowings under the January 1997 Credit Facility may not exceed the sum of 90% of eligible accounts receivable and 60% of eligible inventory. Lending commitments under the January 1997 Credit Facility reduce to $1.1 billion on January 1, 1998 and $1.0 billion on January 1, 1999. If the Company consummates offerings of debt or capital stock prior to such dates, the proceeds of such offerings will be used to reduce the lending commitments, but not below $1.0 billion. The Company used proceeds from the January 1997 Credit Facility to finance the Fendt Acquisition.</w:t>
      </w:r>
    </w:p>
    <w:p>
      <w:pPr>
        <w:spacing w:after="0" w:line="175"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March 1996, the Company issued $250.0 million of 8 1/2% Senior Subordinated Notes due 2006 (the "Notes") at 99.139% of their principal amount. The net proceeds from the sale of the Notes were used to repay outstanding indebtedness under the June 1994 Credit Facility. The sale of the Notes provided the Company with subordinated capital and replaced a portion of its floating rate debt with longer term fixed rate debt.</w:t>
      </w:r>
    </w:p>
    <w:p>
      <w:pPr>
        <w:sectPr>
          <w:pgSz w:w="11900" w:h="16838" w:orient="portrait"/>
          <w:cols w:equalWidth="0" w:num="1">
            <w:col w:w="10221"/>
          </w:cols>
          <w:pgMar w:left="239" w:top="300" w:right="1440" w:bottom="1440" w:gutter="0" w:footer="0" w:header="0"/>
        </w:sectPr>
      </w:pP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300"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11</w:t>
      </w:r>
    </w:p>
    <w:p>
      <w:pPr>
        <w:spacing w:after="0" w:line="190"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On January 22, 1997, the Company filed a registration statement with the Securities and Exchange Commission for the sale of 4.5 million shares of its common stock (the "Offering"). The Company intends to use the proceeds from the Offering to reduce a portion of the borrowings outstanding under the January 1997 Credit Facility and expects to complete the transaction in March 1997.</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Prior to the Agricredit Sale on November 1, 1996, Agricredit obtained funds from a separate $630.0 million revolving credit facility (the "Agricredit Revolving Credit Agreement") to finance its credit receivable portfolio. Borrowings under the Agricredit Revolving Credit Agreement were based on the amount and quality of outstanding credit receivables and were generally issued for terms with maturities matching anticipated credit receivable liquidations. On November 1, 1996, in connection with the Agricredit Joint Venture, the Agricredit Revolving Credit Agreement was repaid and the Agricredit Joint Venture entered into a new credit agreement.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Company's working capital requirements for its Equipment Operations are seasonal, with investments in working capital typically building in the first half of the year and then reducing in the second half of the year. As of December 31, 1996, the Company's Equipment Operations had $750.5 million of working capital compared to $661.5 million as of December 31, 1995 and $513.9 million as of December 31, 1994. The increase in working capital in 1996 compared to 1995 was primarily due to working capital acquired in the Maxion and Deutz Argentina Acquisitions. The increase in working capital in 1995 compared to 1994 was primarily due to an increase in dealer receivables resulting from the Company's sales growth in 1995, the AgEquipment Acquisition, the Landini Distribution Agreement and the timing of international sales which were significantly higher in late 1995 than in late 1994.</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Cash flow provided by operating activities was $206.7 million for 1996 compared to $67.1 million for 1995. The increase in operating cash flow was primarily due to (i) the collection of receivables in 1996 related to unusually high international accounts receivable levels at December 31, 1995, which were collected in 1996 and (ii) strong retail sales in North America during 1996 which resulted in lower levels of dealer inventories relative to billings in 1996 compared to 1995. The cash flow provided by operating activities was primarily used to repay indebtedness and to fund capital expenditures. Cash flow provided by operating activities was $67.1 million for 1995 compared to $96.4 million for 1994. The decrease in operating cash flow was primarily due to increases in working capital as discussed above, partially offset by an increase in net income. The cash flow provided by operating activities was primarily used to fund the AgEquipment Acquisition and capital expenditures.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Capital expenditures were $45.2 million in 1996 compared to $45.3 million in 1995 and $20.7 million in 1994. The increase in 1995 compared to 1994 primarily resulted from a full year's impact of capital expenditures recorded in 1995 by the Company's European operations related to its manufacturing operations. For all years, the Company's capital expenditures related to the development of new and existing products as well as the maintenance and improvement of existing facilities. The Company currently estimates that aggregate capital expenditures for 1997 will range from approximately $70.0 million to $80.0 million and will primarily be used to support the development and enhancement of new and existing products. The increase in the expected capital expenditures in 1997 is primarily the result of capital expenditures required for the manufacturing operations acquired in the Deutz Argentina and Fendt Acquisitions. The capital expenditures for 1997 are expected to be funded with cash flows from operations.</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Company's debt to capitalization ratio for its Equipment Operations was 42.3% at December 31, 1996 compared to 37.7% at December 31, 1995, assuming conversion of the Convertible Subordinated Debentures at December 31, 1995 (see Note 8 to the Consolidated Financial Statements). The increase in the Company's leverage was due to increased borrowing requirements to fund the Maxion, Western Combine and Deutz Argentina Acquisitions.</w:t>
      </w:r>
    </w:p>
    <w:p>
      <w:pPr>
        <w:spacing w:after="0" w:line="188" w:lineRule="exact"/>
        <w:rPr>
          <w:sz w:val="20"/>
          <w:szCs w:val="20"/>
          <w:color w:val="auto"/>
        </w:rPr>
      </w:pPr>
    </w:p>
    <w:p>
      <w:pPr>
        <w:ind w:right="3119" w:firstLine="480"/>
        <w:spacing w:after="0" w:line="243" w:lineRule="auto"/>
        <w:rPr>
          <w:sz w:val="20"/>
          <w:szCs w:val="20"/>
          <w:color w:val="auto"/>
        </w:rPr>
      </w:pPr>
      <w:r>
        <w:rPr>
          <w:rFonts w:ascii="Courier New" w:cs="Courier New" w:eastAsia="Courier New" w:hAnsi="Courier New"/>
          <w:sz w:val="16"/>
          <w:szCs w:val="16"/>
          <w:color w:val="auto"/>
        </w:rPr>
        <w:t>The Company believes that available borrowings under the January 1997 Credit Facility, available cash and internally generated funds will be sufficient to support its working capital, capital expenditures, and debt service requirements for the foreseeable future.</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The Company from time to time reviews and will continue to review acquisition and joint venture opportunities as well as changes in the capital markets. If the Company were to consummate a significant acquisition or elect to take advantage of favorable opportunities in the capital markets, the Company may supplement availability or revise the terms under its credit facilities or complete public or private offerings of equity or debt securities.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CHARGES FOR NONRECURRING EXPENSES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Maxion Acquisition</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Company identified $6.0 million of nonrecurring expenses related to the integration and restructuring of the Company's Brazilian operations, acquired in June 1996 as a result of the Maxion Acquisition. The Company recorded $4.7 million of nonrecurring expenses during 1996 to recognize a portion of these costs. These costs are primarily related to the rationalization of manufacturing, sales and administrative functions designed to resize the operations to current sales and production volumes. Savings from the integration and restructuring of the Brazilian operations are expected to result primarily in reduced selling, general and administrative expenses and product cost reductions. The Company expects to record the remaining $1.3 million of nonrecurring expenses and complete the integration in 1997. While the Company believes that cost savings from its restructuring plans can be attained, there can be no assurance that all objectives of the restructuring will be achieved.</w:t>
      </w:r>
    </w:p>
    <w:p>
      <w:pPr>
        <w:spacing w:after="0" w:line="17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Massey Acquisition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identified $19.5 million of nonrecurring expenses primarily related to the initial integration and restructuring of the Company's European operations, acquired in June 1994 as a result of the Massey Acquisition. The Company recorded a charge of $13.5 million in the fourth quarter of 1994 to recognize a portion of these costs and recorded the remaining $6.0 million in 1995. These costs primarily related to the centralization and rationalization of the Company's European operations' administrative, sales and marketing functions. Prior to the Massey Acquisition, Massey's operations were organized in a decentralized business unit structure. The Company's restructuring plan has centralized many functions duplicated under the previous organization. This restructuring has resulted in a reduction in personnel and the elimination of administrative offices, thereby eliminating excessive costs and redundancies in future periods. The combined $19.5 million charge recorded through December 31, 1995 included estimates for employee severance, contractual obligations arising from the acquisition and certain payroll expenses incurred through December 31, 1995 for employees that have been terminated or will be terminated in future periods. All of the costs associated with the $19.5 million charge recorded through December 31, 1995 have been incurred.</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Company's successful implementation of its restructuring plan has resulted in significant savings in the Company's European operations. The majority of these savings resulted from personnel reductions, facilities rationalizations, and other savings which primarily resulted from the centralization of the Company's European operations' administrative, sales and marketing functions. In addition, the Company has achieved material cost savings from the redesign of certain components, an increased use of common components throughout the Massey product line and more effective purchasing from the centralization of that function. In addition, material cost savings have been achieved from the Company's strategic alliance with Renault Agriculture S.A. (the "GIMA Joint Venture") to produce driveline assemblies for both companies. By sharing overhead and engineering costs, the GIMA Joint Venture resulted in decreased costs for these components.</w:t>
      </w:r>
    </w:p>
    <w:p>
      <w:pPr>
        <w:spacing w:after="0" w:line="191"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1996, the Company recorded approximately $10.3 million of nonrecurring expenses related to the further restructuring of the Company's European operations, acquired in June 1994 as a result of the Massey Acquisition. These costs primarily related to the centralization of certain parts warehousing, administrative, sales and marketing functions. The Company expects to record an additional $7.5 million of nonrecurring expenses and to complete the restructuring in 1997. Savings from the further restructuring of the Company's European operations are expected to result primarily from reduced selling, general and administrative expenses primarily relating to the Company's parts warehousing, finance, dealer communications, sales and</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0"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13</w:t>
      </w:r>
    </w:p>
    <w:p>
      <w:pPr>
        <w:spacing w:after="0" w:line="190"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marketing functions. While the Company believes that cost savings from its restructuring plan can be attained, there can be no assurance that all objectives of the restructuring will be achieved.</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White-New Idea Acquisition</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In the first quarter of 1994, the Company recorded a $6.0 million charge for nonrecurring expenses related to the integration of White-New Idea, which was acquired in December 1993. The nonrecurring charge included employee severance and relocation expenses, costs associated with operating duplicate parts distribution operations, costs for dealer signs and other nonrecurring costs related to the integration.</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Savings from the integration of White-New Idea resulted primarily from the elimination of three of White-New Idea's four parts distribution facilities and the consolidation of the Company's and White-New Idea's parts distribution operations. In addition, certain efficiencies and cost savings were achieved in sales, marketing and administrative functions resulting from the integration of these operations in the first quarter of 1994.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w:t>
      </w:r>
    </w:p>
    <w:p>
      <w:pPr>
        <w:spacing w:after="0" w:line="190" w:lineRule="exact"/>
        <w:rPr>
          <w:sz w:val="20"/>
          <w:szCs w:val="20"/>
          <w:color w:val="auto"/>
        </w:rPr>
      </w:pPr>
    </w:p>
    <w:p>
      <w:pPr>
        <w:ind w:right="2919" w:firstLine="480"/>
        <w:spacing w:after="0" w:line="244" w:lineRule="auto"/>
        <w:rPr>
          <w:sz w:val="20"/>
          <w:szCs w:val="20"/>
          <w:color w:val="auto"/>
        </w:rPr>
      </w:pPr>
      <w:r>
        <w:rPr>
          <w:rFonts w:ascii="Courier New" w:cs="Courier New" w:eastAsia="Courier New" w:hAnsi="Courier New"/>
          <w:sz w:val="16"/>
          <w:szCs w:val="16"/>
          <w:color w:val="auto"/>
        </w:rPr>
        <w:t>The Company's operations are subject to the cyclical nature of the agricultural industry. Sales of the Company's equipment have been and are expected to continue to be affected by changes in net cash farm income, farm land values, weather conditions, the demand for agricultural commodities and general economic conditions.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outlook for worldwide sales of agricultural equipment expenditures remains positive. In North America, as a result of low worldwide grain stocks, high commodity prices and government payments to farmers under the new U.S. Farm Bill, net cash farm income has remained at high levels and farmer balance sheets remain strong, which the Company believes will enable farmers to make necessary purchases of equipment in 1997. These factors should increase farmers' confidence and result in continued replacement demand for agricultural equipment.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Western European agricultural market continues to benefit from increased export demand and high commodity prices. These items should continue to support the farmers' replacement demand. Over the longer term, demand for farm equipment in some parts of Europe is expected to exhibit a slow, modest decline due to a shift to fewer but larger farms. This consolidation is expected to be offset, to some extent, by increased sales of more expensive higher horsepower equipment to support larger farms.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Beginning in the second half of 1995, the Brazilian agricultural equipment market experienced a significant decline due to high farm debt levels and the Brazilian Central Bank's suspension of all loans for agricultural purposes under the FINAME loan program. Although the loan program has been reinstated, the high farm debt levels have negatively impacted farm equipment sales in 1996 and may impact results in 1997. In general, outside of North America and Western Europe, continued general economic improvement, the increasing affluence of the population in certain developing countries and the increased availability of funding sources should positively support equipment demand. As a result of these favorable market conditions, the Company's production levels in 1997 are forecasted to be modestly higher than the prior year.</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RISK MANAGEMENT</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The Company has significant manufacturing operations in the United States, the United Kingdom, France, Brazil, and, as a result of the Company's recent acquisitions, Argentina and Germany, and it purchases a portion of its tractors, combines and components from third party foreign suppliers primarily in various European countries and in Japan. The Company also sells products in over 140 countries throughout the world. Fluctuations in the value of foreign currencies create exposures which can adversely affect the Company's results of operations.</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14</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Company attempts to manage its foreign exchange exposure by hedging identifiable foreign currency commitments arising from receivables, payables, and expected purchases and sales. Where naturally offsetting currency positions do not occur, the Company hedges its exposures through the use of foreign currency forward contracts. The Company's hedging policy prohibits foreign currency forward contracts for speculative trading purposes.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CHANGES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October 1995, the Financial Accounting Standards Board issued Statement No. 123, "Accounting for Stock-Based Compensation", which requires companies to estimate the value of all stock-based compensation using a recognized pricing model. The Company has adopted the disclosure requirements of this statement and has chosen to continue to apply the accounting provisions of Accounting Principles Board Opinion No. 25 to stock-based employee compensation arrangements as allowed by Statement No. 123. As a result, the adoption of this new standard did not have an effect on the Company's financial position or results of operations.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Effective January 1996, the Company adopted Statement of Financial Accounting Standards No. 121, "Accounting for the Impairment of Long-Lived Assets and for Long-Lived Assets to Be Disposed Of," which established accounting standards for the impairment of long-lived assets, certain identifiable intangibles and goodwill related to those assets to be held and used, as well as for long-lived assets and certain identifiable intangibles to be disposed. The adoption of this new standard did not have a material effect on the Company's financial position.</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Effective January 1, 1994, the Company adopted Statement of Financial Accounting Standards No. 112, "Employers' Accounting for Postemployment Benefits," which requires accrual of postemployment benefits for former or inactive employees after employment but before retirement. The adoption of this new standard did not have a material effect on the Company's financial position or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w:t>
      </w:r>
    </w:p>
    <w:p>
      <w:pPr>
        <w:spacing w:after="0" w:line="190"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Certain information included in Management's Discussion and Analysis of Financial Condition and Results of Operations include forward looking statements within the meaning of Section 21E of the Securities Exchange Act of 1934, including the information set forth under "-- Outlook". Although the Company believes that the expectations reflected in such forward looking statements are based upon reasonable assumptions, it can give no assurance that its expectations will be achieved. Additionally, the Company's financial results are sensitive to movement in interest rates and foreign currencies, as well as general economic conditions, pricing and product actions taken by competitors, production disruptions and changes in environmental, international trade and other laws which impact the way in which it conducts its business. Important factors that could cause actual results to differ materially from the Company's current expectations are disclosed in conjunction with the Company's filings with Securities and Exchange Commission.</w:t>
      </w:r>
    </w:p>
    <w:p>
      <w:pPr>
        <w:spacing w:after="0" w:line="200" w:lineRule="exact"/>
        <w:rPr>
          <w:sz w:val="20"/>
          <w:szCs w:val="20"/>
          <w:color w:val="auto"/>
        </w:rPr>
      </w:pPr>
    </w:p>
    <w:p>
      <w:pPr>
        <w:spacing w:after="0" w:line="34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99.2</w:t>
      </w:r>
    </w:p>
    <w:p>
      <w:pPr>
        <w:spacing w:after="0" w:line="200" w:lineRule="exact"/>
        <w:rPr>
          <w:sz w:val="20"/>
          <w:szCs w:val="20"/>
          <w:color w:val="auto"/>
        </w:rPr>
      </w:pPr>
    </w:p>
    <w:p>
      <w:pPr>
        <w:spacing w:after="0" w:line="35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AGCO Corporation: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 have audited the accompanying consolidated balance sheets of AGCO CORPORATION AND SUBSIDIARIES as of December 31, 1996 and 1995 and the related consolidated statements of income, stockholders'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88"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AGCO Corporation and subsidiaries as of December 31, 1996 and 1995 and the results of their operations and their cash flows for each of the three years in the period ended December 31, 1996 in conformity with generally accepted accounting principles.</w:t>
      </w:r>
    </w:p>
    <w:p>
      <w:pPr>
        <w:spacing w:after="0" w:line="172"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ARTHUR ANDERSEN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Atlanta, Georgia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5, 1997</w:t>
      </w:r>
    </w:p>
    <w:p>
      <w:pPr>
        <w:sectPr>
          <w:pgSz w:w="11900" w:h="16838" w:orient="portrait"/>
          <w:cols w:equalWidth="0" w:num="1">
            <w:col w:w="10219"/>
          </w:cols>
          <w:pgMar w:left="240" w:top="140"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CONSOLIDATED</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4800" w:type="dxa"/>
            <w:vAlign w:val="bottom"/>
          </w:tcPr>
          <w:p>
            <w:pPr>
              <w:spacing w:after="0"/>
              <w:rPr>
                <w:sz w:val="16"/>
                <w:szCs w:val="16"/>
                <w:color w:val="auto"/>
              </w:rPr>
            </w:pPr>
          </w:p>
        </w:tc>
        <w:tc>
          <w:tcPr>
            <w:tcW w:w="48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YEAR ENDED DECEMBER 31,</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spacing w:after="0"/>
              <w:rPr>
                <w:sz w:val="16"/>
                <w:szCs w:val="16"/>
                <w:color w:val="auto"/>
              </w:rPr>
            </w:pPr>
          </w:p>
        </w:tc>
        <w:tc>
          <w:tcPr>
            <w:tcW w:w="48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1996</w:t>
            </w:r>
          </w:p>
        </w:tc>
        <w:tc>
          <w:tcPr>
            <w:tcW w:w="820" w:type="dxa"/>
            <w:vAlign w:val="bottom"/>
          </w:tcPr>
          <w:p>
            <w:pPr>
              <w:spacing w:after="0"/>
              <w:rPr>
                <w:sz w:val="16"/>
                <w:szCs w:val="16"/>
                <w:color w:val="auto"/>
              </w:rPr>
            </w:pPr>
          </w:p>
        </w:tc>
        <w:tc>
          <w:tcPr>
            <w:tcW w:w="1580" w:type="dxa"/>
            <w:vAlign w:val="bottom"/>
          </w:tcPr>
          <w:p>
            <w:pPr>
              <w:jc w:val="right"/>
              <w:ind w:right="920"/>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6"/>
                <w:szCs w:val="16"/>
                <w:color w:val="auto"/>
              </w:rPr>
            </w:pP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Net sales......................................</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$2,317,486</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$2,068,427</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$1,319,271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Finance income.................................</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56,621</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39,741</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2,317,486</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w w:val="97"/>
              </w:rPr>
              <w:t>2,125,048</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1,359,012</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Cost of goods sold.............................</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1,847,166</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w w:val="97"/>
              </w:rPr>
              <w:t>1,627,716</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1,042,930</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215,636</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203,861</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129,538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Engineering expenses...........................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27,705</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24,077</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19,358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 net..........................</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32,684</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63,211</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42,836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Other expense (income), net....................</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7,639</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9,602</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3,141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Nonrecurring expenses..........................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15,027</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6,000</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19,500</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2,145,857</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w w:val="97"/>
              </w:rPr>
              <w:t>1,934,467</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1,257,303</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Income before income taxes, equity in net</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earnings of unconsolidated subsidiary and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affiliates and extraordinary loss..............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171,629</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190,581</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101,709</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Provision (benefit) for income taxes.............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59,963</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65,897</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(10,610)</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Income before equity in net earnings of</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unconsolidated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subsidiary and affiliates and extraordinary</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loss...........................................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111,666</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124,684</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112,319</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Equity in net earnings of unconsolidated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subsidiary and affiliates......................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17,724</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4,458</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3,215</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Income before extraordinary loss.................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129,390</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129,142</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115,534</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Extraordinary loss, net of taxes.................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(3,503)</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125,887</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129,142</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115,534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dividends......................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2,012</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5,421</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 stockholders.....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125,887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127,130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110,113</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Primary:</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Income before extraordinary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2.76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3.07</w:t>
            </w:r>
          </w:p>
        </w:tc>
      </w:tr>
      <w:tr>
        <w:trPr>
          <w:trHeight w:val="185"/>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Extraordinary loss..........................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(0.06)</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2.76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3.07</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Fully diluted: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Income before extraordinary loss............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2.30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2.35</w:t>
            </w:r>
          </w:p>
        </w:tc>
      </w:tr>
      <w:tr>
        <w:trPr>
          <w:trHeight w:val="185"/>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Extraordinary loss..........................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(0.06)</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2.30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2.35</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common</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equivalent shares outstanding:</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Primary........................................</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55,186</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46,126</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35,920</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Fully diluted..................................</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57,441</w:t>
            </w:r>
          </w:p>
        </w:tc>
        <w:tc>
          <w:tcPr>
            <w:tcW w:w="820" w:type="dxa"/>
            <w:vAlign w:val="bottom"/>
          </w:tcPr>
          <w:p>
            <w:pPr>
              <w:spacing w:after="0"/>
              <w:rPr>
                <w:sz w:val="16"/>
                <w:szCs w:val="16"/>
                <w:color w:val="auto"/>
              </w:rPr>
            </w:pPr>
          </w:p>
        </w:tc>
        <w:tc>
          <w:tcPr>
            <w:tcW w:w="15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56,684</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49,170</w:t>
            </w:r>
          </w:p>
        </w:tc>
      </w:tr>
      <w:tr>
        <w:trPr>
          <w:trHeight w:val="185"/>
        </w:trPr>
        <w:tc>
          <w:tcPr>
            <w:tcW w:w="48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0"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1060" w:type="dxa"/>
            <w:vAlign w:val="bottom"/>
          </w:tcPr>
          <w:p>
            <w:pPr>
              <w:spacing w:after="0"/>
              <w:rPr>
                <w:sz w:val="15"/>
                <w:szCs w:val="15"/>
                <w:color w:val="auto"/>
              </w:rPr>
            </w:pPr>
          </w:p>
        </w:tc>
        <w:tc>
          <w:tcPr>
            <w:tcW w:w="4600" w:type="dxa"/>
            <w:vAlign w:val="bottom"/>
            <w:gridSpan w:val="4"/>
          </w:tcPr>
          <w:p>
            <w:pPr>
              <w:jc w:val="right"/>
              <w:ind w:right="680"/>
              <w:spacing w:after="0"/>
              <w:rPr>
                <w:sz w:val="20"/>
                <w:szCs w:val="20"/>
                <w:color w:val="auto"/>
              </w:rPr>
            </w:pPr>
            <w:r>
              <w:rPr>
                <w:rFonts w:ascii="Courier New" w:cs="Courier New" w:eastAsia="Courier New" w:hAnsi="Courier New"/>
                <w:sz w:val="16"/>
                <w:szCs w:val="16"/>
                <w:color w:val="auto"/>
              </w:rPr>
              <w:t>AGCO CORPORATION AND SUBSIDIARIES</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70"/>
        </w:trPr>
        <w:tc>
          <w:tcPr>
            <w:tcW w:w="106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Courier New" w:cs="Courier New" w:eastAsia="Courier New" w:hAnsi="Courier New"/>
                <w:sz w:val="16"/>
                <w:szCs w:val="16"/>
                <w:color w:val="auto"/>
              </w:rPr>
              <w:t>CONSOLIDATED STATEMENTS OF INCOME</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w w:val="98"/>
              </w:rPr>
              <w:t>-- (CONTINUED)</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1060" w:type="dxa"/>
            <w:vAlign w:val="bottom"/>
          </w:tcPr>
          <w:p>
            <w:pPr>
              <w:spacing w:after="0"/>
              <w:rPr>
                <w:sz w:val="16"/>
                <w:szCs w:val="16"/>
                <w:color w:val="auto"/>
              </w:rPr>
            </w:pPr>
          </w:p>
        </w:tc>
        <w:tc>
          <w:tcPr>
            <w:tcW w:w="4600" w:type="dxa"/>
            <w:vAlign w:val="bottom"/>
            <w:gridSpan w:val="4"/>
          </w:tcPr>
          <w:p>
            <w:pPr>
              <w:ind w:left="480"/>
              <w:spacing w:after="0"/>
              <w:rPr>
                <w:sz w:val="20"/>
                <w:szCs w:val="20"/>
                <w:color w:val="auto"/>
              </w:rPr>
            </w:pPr>
            <w:r>
              <w:rPr>
                <w:rFonts w:ascii="Courier New" w:cs="Courier New" w:eastAsia="Courier New" w:hAnsi="Courier New"/>
                <w:sz w:val="16"/>
                <w:szCs w:val="16"/>
                <w:color w:val="auto"/>
              </w:rPr>
              <w:t>(IN THOUSANDS, EXCEPT PER SHARE DATA)</w:t>
            </w:r>
          </w:p>
        </w:tc>
        <w:tc>
          <w:tcPr>
            <w:tcW w:w="6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739"/>
        </w:trPr>
        <w:tc>
          <w:tcPr>
            <w:tcW w:w="3640" w:type="dxa"/>
            <w:vAlign w:val="bottom"/>
            <w:gridSpan w:val="3"/>
          </w:tcPr>
          <w:p>
            <w:pPr>
              <w:jc w:val="right"/>
              <w:ind w:right="880"/>
              <w:spacing w:after="0"/>
              <w:rPr>
                <w:sz w:val="20"/>
                <w:szCs w:val="20"/>
                <w:color w:val="auto"/>
              </w:rPr>
            </w:pPr>
            <w:r>
              <w:rPr>
                <w:rFonts w:ascii="Courier New" w:cs="Courier New" w:eastAsia="Courier New" w:hAnsi="Courier New"/>
                <w:sz w:val="16"/>
                <w:szCs w:val="16"/>
                <w:color w:val="auto"/>
              </w:rPr>
              <w:t>EQUIPMENT OPERATIONS</w:t>
            </w:r>
          </w:p>
        </w:tc>
        <w:tc>
          <w:tcPr>
            <w:tcW w:w="68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FINANCE COMPANY</w:t>
            </w:r>
          </w:p>
        </w:tc>
        <w:tc>
          <w:tcPr>
            <w:tcW w:w="1240" w:type="dxa"/>
            <w:vAlign w:val="bottom"/>
          </w:tcPr>
          <w:p>
            <w:pPr>
              <w:spacing w:after="0"/>
              <w:rPr>
                <w:sz w:val="24"/>
                <w:szCs w:val="24"/>
                <w:color w:val="auto"/>
              </w:rPr>
            </w:pPr>
          </w:p>
        </w:tc>
      </w:tr>
      <w:tr>
        <w:trPr>
          <w:trHeight w:val="185"/>
        </w:trPr>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1280" w:type="dxa"/>
            <w:vAlign w:val="bottom"/>
          </w:tcPr>
          <w:p>
            <w:pPr>
              <w:spacing w:after="0"/>
              <w:rPr>
                <w:sz w:val="16"/>
                <w:szCs w:val="16"/>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gridSpan w:val="3"/>
          </w:tcPr>
          <w:p>
            <w:pPr>
              <w:jc w:val="right"/>
              <w:ind w:right="780"/>
              <w:spacing w:after="0"/>
              <w:rPr>
                <w:sz w:val="20"/>
                <w:szCs w:val="20"/>
                <w:color w:val="auto"/>
              </w:rPr>
            </w:pPr>
            <w:r>
              <w:rPr>
                <w:rFonts w:ascii="Courier New" w:cs="Courier New" w:eastAsia="Courier New" w:hAnsi="Courier New"/>
                <w:sz w:val="16"/>
                <w:szCs w:val="16"/>
                <w:color w:val="auto"/>
              </w:rPr>
              <w:t>YEAR ENDED DECEMBER 31,</w:t>
            </w: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Courier New" w:cs="Courier New" w:eastAsia="Courier New" w:hAnsi="Courier New"/>
                <w:sz w:val="16"/>
                <w:szCs w:val="16"/>
                <w:color w:val="auto"/>
              </w:rPr>
              <w:t>FOR THE PERIOD FROM</w:t>
            </w:r>
          </w:p>
        </w:tc>
      </w:tr>
      <w:tr>
        <w:trPr>
          <w:trHeight w:val="185"/>
        </w:trPr>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1280" w:type="dxa"/>
            <w:vAlign w:val="bottom"/>
          </w:tcPr>
          <w:p>
            <w:pPr>
              <w:spacing w:after="0"/>
              <w:rPr>
                <w:sz w:val="16"/>
                <w:szCs w:val="16"/>
                <w:color w:val="auto"/>
              </w:rPr>
            </w:pPr>
          </w:p>
        </w:tc>
        <w:tc>
          <w:tcPr>
            <w:tcW w:w="20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YEAR ENDED</w:t>
            </w:r>
          </w:p>
        </w:tc>
        <w:tc>
          <w:tcPr>
            <w:tcW w:w="19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FEBRUARY 11, 1994</w:t>
            </w:r>
          </w:p>
        </w:tc>
      </w:tr>
      <w:tr>
        <w:trPr>
          <w:trHeight w:val="185"/>
        </w:trPr>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1996</w:t>
            </w:r>
          </w:p>
        </w:tc>
        <w:tc>
          <w:tcPr>
            <w:tcW w:w="1300" w:type="dxa"/>
            <w:vAlign w:val="bottom"/>
          </w:tcPr>
          <w:p>
            <w:pPr>
              <w:ind w:left="480"/>
              <w:spacing w:after="0"/>
              <w:rPr>
                <w:sz w:val="20"/>
                <w:szCs w:val="20"/>
                <w:color w:val="auto"/>
              </w:rPr>
            </w:pPr>
            <w:r>
              <w:rPr>
                <w:rFonts w:ascii="Courier New" w:cs="Courier New" w:eastAsia="Courier New" w:hAnsi="Courier New"/>
                <w:sz w:val="16"/>
                <w:szCs w:val="16"/>
                <w:color w:val="auto"/>
              </w:rPr>
              <w:t>1995</w:t>
            </w:r>
          </w:p>
        </w:tc>
        <w:tc>
          <w:tcPr>
            <w:tcW w:w="12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1994</w:t>
            </w:r>
          </w:p>
        </w:tc>
        <w:tc>
          <w:tcPr>
            <w:tcW w:w="20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DECEMBER 31, 1995</w:t>
            </w:r>
          </w:p>
        </w:tc>
        <w:tc>
          <w:tcPr>
            <w:tcW w:w="1920" w:type="dxa"/>
            <w:vAlign w:val="bottom"/>
            <w:gridSpan w:val="2"/>
          </w:tcPr>
          <w:p>
            <w:pPr>
              <w:spacing w:after="0"/>
              <w:rPr>
                <w:sz w:val="20"/>
                <w:szCs w:val="20"/>
                <w:color w:val="auto"/>
              </w:rPr>
            </w:pPr>
            <w:r>
              <w:rPr>
                <w:rFonts w:ascii="Courier New" w:cs="Courier New" w:eastAsia="Courier New" w:hAnsi="Courier New"/>
                <w:sz w:val="16"/>
                <w:szCs w:val="16"/>
                <w:color w:val="auto"/>
                <w:w w:val="98"/>
              </w:rPr>
              <w:t>TO DECEMBER 31, 1994</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$2,317,486</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$2,068,427</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$1,319,271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7"/>
              </w:rPr>
              <w:t>56,621</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w w:val="97"/>
              </w:rPr>
              <w:t>39,741</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2,317,486</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2,068,427</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1,319,271</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7"/>
              </w:rPr>
              <w:t>56,621</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w w:val="97"/>
              </w:rPr>
              <w:t>39,741</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370"/>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1,847,166</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1,627,716</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1,042,930</w:t>
            </w:r>
          </w:p>
        </w:tc>
        <w:tc>
          <w:tcPr>
            <w:tcW w:w="680" w:type="dxa"/>
            <w:vAlign w:val="bottom"/>
          </w:tcPr>
          <w:p>
            <w:pPr>
              <w:spacing w:after="0"/>
              <w:rPr>
                <w:sz w:val="24"/>
                <w:szCs w:val="24"/>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24"/>
                <w:szCs w:val="24"/>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215,636</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190,025</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117,683</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7"/>
              </w:rPr>
              <w:t>13,836</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w w:val="97"/>
              </w:rPr>
              <w:t>11,855</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27,705</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24,077</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19,358</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32,684</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31,490</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24,104</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7"/>
              </w:rPr>
              <w:t>31,721</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w w:val="97"/>
              </w:rPr>
              <w:t>18,732</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7,639</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9,654</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1,978</w:t>
            </w:r>
          </w:p>
        </w:tc>
        <w:tc>
          <w:tcPr>
            <w:tcW w:w="680" w:type="dxa"/>
            <w:vAlign w:val="bottom"/>
          </w:tcPr>
          <w:p>
            <w:pPr>
              <w:spacing w:after="0"/>
              <w:rPr>
                <w:sz w:val="16"/>
                <w:szCs w:val="16"/>
                <w:color w:val="auto"/>
              </w:rPr>
            </w:pPr>
          </w:p>
        </w:tc>
        <w:tc>
          <w:tcPr>
            <w:tcW w:w="13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(52)</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1,163</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15,027</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6,000</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19,500</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2,145,857</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1,888,962</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1,225,553</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7"/>
              </w:rPr>
              <w:t>45,505</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w w:val="97"/>
              </w:rPr>
              <w:t>31,750</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370"/>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171,629</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179,465</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93,718</w:t>
            </w:r>
          </w:p>
        </w:tc>
        <w:tc>
          <w:tcPr>
            <w:tcW w:w="680" w:type="dxa"/>
            <w:vAlign w:val="bottom"/>
          </w:tcPr>
          <w:p>
            <w:pPr>
              <w:spacing w:after="0"/>
              <w:rPr>
                <w:sz w:val="24"/>
                <w:szCs w:val="24"/>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7"/>
              </w:rPr>
              <w:t>11,116</w:t>
            </w:r>
          </w:p>
        </w:tc>
        <w:tc>
          <w:tcPr>
            <w:tcW w:w="680" w:type="dxa"/>
            <w:vAlign w:val="bottom"/>
          </w:tcPr>
          <w:p>
            <w:pPr>
              <w:spacing w:after="0"/>
              <w:rPr>
                <w:sz w:val="24"/>
                <w:szCs w:val="24"/>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7,991</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59,963</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61,563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(13,733)</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4,334</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3,123</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370"/>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111,666</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117,902</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107,451</w:t>
            </w:r>
          </w:p>
        </w:tc>
        <w:tc>
          <w:tcPr>
            <w:tcW w:w="680" w:type="dxa"/>
            <w:vAlign w:val="bottom"/>
          </w:tcPr>
          <w:p>
            <w:pPr>
              <w:spacing w:after="0"/>
              <w:rPr>
                <w:sz w:val="24"/>
                <w:szCs w:val="24"/>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6,782</w:t>
            </w:r>
          </w:p>
        </w:tc>
        <w:tc>
          <w:tcPr>
            <w:tcW w:w="680" w:type="dxa"/>
            <w:vAlign w:val="bottom"/>
          </w:tcPr>
          <w:p>
            <w:pPr>
              <w:spacing w:after="0"/>
              <w:rPr>
                <w:sz w:val="24"/>
                <w:szCs w:val="24"/>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4,868</w:t>
            </w:r>
          </w:p>
        </w:tc>
      </w:tr>
      <w:tr>
        <w:trPr>
          <w:trHeight w:val="370"/>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17,724</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11,240</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8,083</w:t>
            </w:r>
          </w:p>
        </w:tc>
        <w:tc>
          <w:tcPr>
            <w:tcW w:w="680" w:type="dxa"/>
            <w:vAlign w:val="bottom"/>
          </w:tcPr>
          <w:p>
            <w:pPr>
              <w:spacing w:after="0"/>
              <w:rPr>
                <w:sz w:val="24"/>
                <w:szCs w:val="24"/>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24"/>
                <w:szCs w:val="24"/>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129,390</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129,142</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115,534</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6,782</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4,868</w:t>
            </w:r>
          </w:p>
        </w:tc>
      </w:tr>
      <w:tr>
        <w:trPr>
          <w:trHeight w:val="185"/>
        </w:trPr>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(3,503)</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125,887</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129,142</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115,534</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6,782</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4,868</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2,012</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5,421</w:t>
            </w:r>
          </w:p>
        </w:tc>
        <w:tc>
          <w:tcPr>
            <w:tcW w:w="68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  125,887</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  127,130</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110,113</w:t>
            </w:r>
          </w:p>
        </w:tc>
        <w:tc>
          <w:tcPr>
            <w:tcW w:w="202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$ 6,782</w:t>
            </w:r>
          </w:p>
        </w:tc>
        <w:tc>
          <w:tcPr>
            <w:tcW w:w="19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$ 4,868</w:t>
            </w:r>
          </w:p>
        </w:tc>
      </w:tr>
      <w:tr>
        <w:trPr>
          <w:trHeight w:val="185"/>
        </w:trPr>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ectPr>
          <w:pgSz w:w="11900" w:h="16838" w:orient="portrait"/>
          <w:cols w:equalWidth="0" w:num="1">
            <w:col w:w="9939"/>
          </w:cols>
          <w:pgMar w:left="520" w:top="300"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CONSOLIDATED BALANCE SHEETS</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(IN THOUSANDS, EXCEPT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w:t>
            </w:r>
          </w:p>
        </w:tc>
        <w:tc>
          <w:tcPr>
            <w:tcW w:w="960" w:type="dxa"/>
            <w:vAlign w:val="bottom"/>
          </w:tcPr>
          <w:p>
            <w:pPr>
              <w:spacing w:after="0"/>
              <w:rPr>
                <w:sz w:val="15"/>
                <w:szCs w:val="15"/>
                <w:color w:val="auto"/>
              </w:rPr>
            </w:pPr>
          </w:p>
        </w:tc>
      </w:tr>
      <w:tr>
        <w:trPr>
          <w:trHeight w:val="185"/>
        </w:trPr>
        <w:tc>
          <w:tcPr>
            <w:tcW w:w="5860" w:type="dxa"/>
            <w:vAlign w:val="bottom"/>
          </w:tcPr>
          <w:p>
            <w:pPr>
              <w:spacing w:after="0"/>
              <w:rPr>
                <w:sz w:val="16"/>
                <w:szCs w:val="16"/>
                <w:color w:val="auto"/>
              </w:rPr>
            </w:pPr>
          </w:p>
        </w:tc>
        <w:tc>
          <w:tcPr>
            <w:tcW w:w="30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5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DECEMBER 31,</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1996</w:t>
            </w:r>
          </w:p>
        </w:tc>
        <w:tc>
          <w:tcPr>
            <w:tcW w:w="540" w:type="dxa"/>
            <w:vAlign w:val="bottom"/>
          </w:tcPr>
          <w:p>
            <w:pPr>
              <w:spacing w:after="0"/>
              <w:rPr>
                <w:sz w:val="16"/>
                <w:szCs w:val="16"/>
                <w:color w:val="auto"/>
              </w:rPr>
            </w:pPr>
          </w:p>
        </w:tc>
        <w:tc>
          <w:tcPr>
            <w:tcW w:w="9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58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jc w:val="right"/>
              <w:ind w:right="1080"/>
              <w:spacing w:after="0"/>
              <w:rPr>
                <w:sz w:val="20"/>
                <w:szCs w:val="20"/>
                <w:color w:val="auto"/>
              </w:rPr>
            </w:pPr>
            <w:r>
              <w:rPr>
                <w:rFonts w:ascii="Courier New" w:cs="Courier New" w:eastAsia="Courier New" w:hAnsi="Courier New"/>
                <w:sz w:val="16"/>
                <w:szCs w:val="16"/>
                <w:color w:val="auto"/>
              </w:rPr>
              <w:t>ASSETS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Cash and cash equivalents.................................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41,707</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27,858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and notes receivable, net of allowances..........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856,985</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785,801</w:t>
            </w:r>
          </w:p>
        </w:tc>
      </w:tr>
      <w:tr>
        <w:trPr>
          <w:trHeight w:val="185"/>
        </w:trPr>
        <w:tc>
          <w:tcPr>
            <w:tcW w:w="5860" w:type="dxa"/>
            <w:vAlign w:val="bottom"/>
          </w:tcPr>
          <w:p>
            <w:pPr>
              <w:jc w:val="right"/>
              <w:ind w:right="1160"/>
              <w:spacing w:after="0"/>
              <w:rPr>
                <w:sz w:val="20"/>
                <w:szCs w:val="20"/>
                <w:color w:val="auto"/>
              </w:rPr>
            </w:pPr>
            <w:r>
              <w:rPr>
                <w:rFonts w:ascii="Courier New" w:cs="Courier New" w:eastAsia="Courier New" w:hAnsi="Courier New"/>
                <w:sz w:val="16"/>
                <w:szCs w:val="16"/>
                <w:color w:val="auto"/>
              </w:rPr>
              <w:t>Receivables from unconsolidated subsidiary and</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affiliates.............................................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12,486</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4,029</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Credit receivables, net...................................</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185,401</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Inventories, net..........................................</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473,844</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360,969</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current assets......................................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81,440</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60,442</w:t>
            </w:r>
          </w:p>
        </w:tc>
      </w:tr>
      <w:tr>
        <w:trPr>
          <w:trHeight w:val="185"/>
        </w:trPr>
        <w:tc>
          <w:tcPr>
            <w:tcW w:w="586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assets..............................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9"/>
              </w:rPr>
              <w:t>1,466,462</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1,424,500</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Noncurrent credit receivables, net..........................</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397,177</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Property, plant and equipment, net..........................</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292,437</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146,521</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Investments in unconsolidated subsidiary and affiliates.....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80,501</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45,963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assets................................................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71,488</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44,510</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Intangible assets, net......................................</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205,643</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104,244</w:t>
            </w:r>
          </w:p>
        </w:tc>
      </w:tr>
      <w:tr>
        <w:trPr>
          <w:trHeight w:val="185"/>
        </w:trPr>
        <w:tc>
          <w:tcPr>
            <w:tcW w:w="586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assets......................................</w:t>
            </w:r>
          </w:p>
        </w:tc>
        <w:tc>
          <w:tcPr>
            <w:tcW w:w="158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$2,116,531</w:t>
            </w:r>
          </w:p>
        </w:tc>
        <w:tc>
          <w:tcPr>
            <w:tcW w:w="1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$2,162,915</w:t>
            </w:r>
          </w:p>
        </w:tc>
      </w:tr>
      <w:tr>
        <w:trPr>
          <w:trHeight w:val="185"/>
        </w:trPr>
        <w:tc>
          <w:tcPr>
            <w:tcW w:w="586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LIABILITIES AND STOCKHOLDERS' EQUITY</w:t>
            </w: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Current portion of long-term debt.........................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361,376</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361,512</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325,701</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Payables to unconsolidated subsidiary and affiliates......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14,567</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4,837</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Accrued expenses..........................................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316,958</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233,848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current liabilities.................................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22,951</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13,217</w:t>
            </w:r>
          </w:p>
        </w:tc>
      </w:tr>
      <w:tr>
        <w:trPr>
          <w:trHeight w:val="185"/>
        </w:trPr>
        <w:tc>
          <w:tcPr>
            <w:tcW w:w="586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liabilities.........................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715,988</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938,979</w:t>
            </w:r>
          </w:p>
        </w:tc>
      </w:tr>
      <w:tr>
        <w:trPr>
          <w:trHeight w:val="185"/>
        </w:trPr>
        <w:tc>
          <w:tcPr>
            <w:tcW w:w="586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567,055</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531,336</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Convertible subordinated debentures.........................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37,558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Postretirement health care benefits.........................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24,445</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23,561</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noncurrent liabilities................................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34,378</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42,553</w:t>
            </w:r>
          </w:p>
        </w:tc>
      </w:tr>
      <w:tr>
        <w:trPr>
          <w:trHeight w:val="185"/>
        </w:trPr>
        <w:tc>
          <w:tcPr>
            <w:tcW w:w="586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liabilities.................................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9"/>
              </w:rPr>
              <w:t>1,341,866</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1,573,987</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 (Note 14)</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8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Common stock; $0.01 par value, 150,000,000 shares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authorized, 57,260,151 and 50,557,040 shares issued</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and outstanding in 1996 and 1995, respectively........</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573</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506</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Additional paid-in capital.............................</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360,119</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307,189</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Retained earnings......................................</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411,422</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287,706</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Unearned compensation..................................</w:t>
            </w:r>
          </w:p>
        </w:tc>
        <w:tc>
          <w:tcPr>
            <w:tcW w:w="280" w:type="dxa"/>
            <w:vAlign w:val="bottom"/>
          </w:tcPr>
          <w:p>
            <w:pPr>
              <w:spacing w:after="0"/>
              <w:rPr>
                <w:sz w:val="16"/>
                <w:szCs w:val="16"/>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(17,779)</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(22,587)</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Additional minimum pension liability...................</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(2,619)</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Cumulative translation adjustment......................</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20,330</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18,733</w:t>
            </w:r>
          </w:p>
        </w:tc>
      </w:tr>
      <w:tr>
        <w:trPr>
          <w:trHeight w:val="185"/>
        </w:trPr>
        <w:tc>
          <w:tcPr>
            <w:tcW w:w="586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stockholders' equity........................</w:t>
            </w:r>
          </w:p>
        </w:tc>
        <w:tc>
          <w:tcPr>
            <w:tcW w:w="28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774,665</w:t>
            </w:r>
          </w:p>
        </w:tc>
        <w:tc>
          <w:tcPr>
            <w:tcW w:w="5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588,928</w:t>
            </w:r>
          </w:p>
        </w:tc>
      </w:tr>
      <w:tr>
        <w:trPr>
          <w:trHeight w:val="185"/>
        </w:trPr>
        <w:tc>
          <w:tcPr>
            <w:tcW w:w="586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58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$2,116,531</w:t>
            </w:r>
          </w:p>
        </w:tc>
        <w:tc>
          <w:tcPr>
            <w:tcW w:w="1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$2,162,915</w:t>
            </w:r>
          </w:p>
        </w:tc>
      </w:tr>
      <w:tr>
        <w:trPr>
          <w:trHeight w:val="185"/>
        </w:trPr>
        <w:tc>
          <w:tcPr>
            <w:tcW w:w="5860" w:type="dxa"/>
            <w:vAlign w:val="bottom"/>
          </w:tcPr>
          <w:p>
            <w:pPr>
              <w:spacing w:after="0"/>
              <w:rPr>
                <w:sz w:val="16"/>
                <w:szCs w:val="16"/>
                <w:color w:val="auto"/>
              </w:rPr>
            </w:pPr>
          </w:p>
        </w:tc>
        <w:tc>
          <w:tcPr>
            <w:tcW w:w="158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0"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CONSOLIDATED BALANCE SHEETS -- (CONTINUED)</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98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(IN THOUSANDS, EXCEPT SHARE DATA)</w:t>
            </w:r>
          </w:p>
        </w:tc>
        <w:tc>
          <w:tcPr>
            <w:tcW w:w="2020" w:type="dxa"/>
            <w:vAlign w:val="bottom"/>
          </w:tcPr>
          <w:p>
            <w:pPr>
              <w:spacing w:after="0"/>
              <w:rPr>
                <w:sz w:val="15"/>
                <w:szCs w:val="15"/>
                <w:color w:val="auto"/>
              </w:rPr>
            </w:pPr>
          </w:p>
        </w:tc>
      </w:tr>
      <w:tr>
        <w:trPr>
          <w:trHeight w:val="739"/>
        </w:trPr>
        <w:tc>
          <w:tcPr>
            <w:tcW w:w="200" w:type="dxa"/>
            <w:vAlign w:val="bottom"/>
          </w:tcPr>
          <w:p>
            <w:pPr>
              <w:spacing w:after="0"/>
              <w:rPr>
                <w:sz w:val="24"/>
                <w:szCs w:val="24"/>
                <w:color w:val="auto"/>
              </w:rPr>
            </w:pPr>
          </w:p>
        </w:tc>
        <w:tc>
          <w:tcPr>
            <w:tcW w:w="5280" w:type="dxa"/>
            <w:vAlign w:val="bottom"/>
            <w:gridSpan w:val="3"/>
          </w:tcPr>
          <w:p>
            <w:pPr>
              <w:jc w:val="right"/>
              <w:ind w:right="3000"/>
              <w:spacing w:after="0"/>
              <w:rPr>
                <w:sz w:val="20"/>
                <w:szCs w:val="20"/>
                <w:color w:val="auto"/>
              </w:rPr>
            </w:pPr>
            <w:r>
              <w:rPr>
                <w:rFonts w:ascii="Courier New" w:cs="Courier New" w:eastAsia="Courier New" w:hAnsi="Courier New"/>
                <w:sz w:val="16"/>
                <w:szCs w:val="16"/>
                <w:color w:val="auto"/>
              </w:rPr>
              <w:t>EQUIPMENT OPERATIONS</w:t>
            </w:r>
          </w:p>
        </w:tc>
        <w:tc>
          <w:tcPr>
            <w:tcW w:w="2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FINANCE COMPANY</w:t>
            </w:r>
          </w:p>
        </w:tc>
      </w:tr>
      <w:tr>
        <w:trPr>
          <w:trHeight w:val="185"/>
        </w:trPr>
        <w:tc>
          <w:tcPr>
            <w:tcW w:w="5480" w:type="dxa"/>
            <w:vAlign w:val="bottom"/>
            <w:gridSpan w:val="4"/>
          </w:tcPr>
          <w:p>
            <w:pPr>
              <w:jc w:val="right"/>
              <w:ind w:right="2420"/>
              <w:spacing w:after="0"/>
              <w:rPr>
                <w:sz w:val="20"/>
                <w:szCs w:val="20"/>
                <w:color w:val="auto"/>
              </w:rPr>
            </w:pPr>
            <w:r>
              <w:rPr>
                <w:rFonts w:ascii="Courier New" w:cs="Courier New" w:eastAsia="Courier New" w:hAnsi="Courier New"/>
                <w:sz w:val="16"/>
                <w:szCs w:val="16"/>
                <w:color w:val="auto"/>
                <w:w w:val="99"/>
              </w:rPr>
              <w:t>-------------------------------</w:t>
            </w:r>
          </w:p>
        </w:tc>
        <w:tc>
          <w:tcPr>
            <w:tcW w:w="2020" w:type="dxa"/>
            <w:vAlign w:val="bottom"/>
          </w:tcPr>
          <w:p>
            <w:pPr>
              <w:jc w:val="center"/>
              <w:ind w:lef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15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DECEMBER 31,</w:t>
            </w:r>
          </w:p>
        </w:tc>
        <w:tc>
          <w:tcPr>
            <w:tcW w:w="398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DECEMBER 31,</w:t>
            </w:r>
          </w:p>
        </w:tc>
        <w:tc>
          <w:tcPr>
            <w:tcW w:w="2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1996</w:t>
            </w:r>
          </w:p>
        </w:tc>
        <w:tc>
          <w:tcPr>
            <w:tcW w:w="520" w:type="dxa"/>
            <w:vAlign w:val="bottom"/>
          </w:tcPr>
          <w:p>
            <w:pPr>
              <w:spacing w:after="0"/>
              <w:rPr>
                <w:sz w:val="16"/>
                <w:szCs w:val="16"/>
                <w:color w:val="auto"/>
              </w:rPr>
            </w:pPr>
          </w:p>
        </w:tc>
        <w:tc>
          <w:tcPr>
            <w:tcW w:w="3460" w:type="dxa"/>
            <w:vAlign w:val="bottom"/>
          </w:tcPr>
          <w:p>
            <w:pPr>
              <w:jc w:val="right"/>
              <w:ind w:right="2800"/>
              <w:spacing w:after="0"/>
              <w:rPr>
                <w:sz w:val="20"/>
                <w:szCs w:val="20"/>
                <w:color w:val="auto"/>
              </w:rPr>
            </w:pPr>
            <w:r>
              <w:rPr>
                <w:rFonts w:ascii="Courier New" w:cs="Courier New" w:eastAsia="Courier New" w:hAnsi="Courier New"/>
                <w:sz w:val="16"/>
                <w:szCs w:val="16"/>
                <w:color w:val="auto"/>
              </w:rPr>
              <w:t>1995</w:t>
            </w:r>
          </w:p>
        </w:tc>
        <w:tc>
          <w:tcPr>
            <w:tcW w:w="2020" w:type="dxa"/>
            <w:vAlign w:val="bottom"/>
          </w:tcPr>
          <w:p>
            <w:pPr>
              <w:jc w:val="center"/>
              <w:ind w:left="400"/>
              <w:spacing w:after="0"/>
              <w:rPr>
                <w:sz w:val="20"/>
                <w:szCs w:val="20"/>
                <w:color w:val="auto"/>
              </w:rPr>
            </w:pPr>
            <w:r>
              <w:rPr>
                <w:rFonts w:ascii="Courier New" w:cs="Courier New" w:eastAsia="Courier New" w:hAnsi="Courier New"/>
                <w:sz w:val="16"/>
                <w:szCs w:val="16"/>
                <w:color w:val="auto"/>
                <w:w w:val="98"/>
              </w:rPr>
              <w:t>1995</w:t>
            </w:r>
          </w:p>
        </w:tc>
      </w:tr>
      <w:tr>
        <w:trPr>
          <w:trHeight w:val="185"/>
        </w:trPr>
        <w:tc>
          <w:tcPr>
            <w:tcW w:w="150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w:t>
            </w:r>
          </w:p>
        </w:tc>
        <w:tc>
          <w:tcPr>
            <w:tcW w:w="3980" w:type="dxa"/>
            <w:vAlign w:val="bottom"/>
            <w:gridSpan w:val="2"/>
          </w:tcPr>
          <w:p>
            <w:pPr>
              <w:jc w:val="right"/>
              <w:ind w:right="24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center"/>
              <w:ind w:left="400"/>
              <w:spacing w:after="0"/>
              <w:rPr>
                <w:sz w:val="20"/>
                <w:szCs w:val="20"/>
                <w:color w:val="auto"/>
              </w:rPr>
            </w:pPr>
            <w:r>
              <w:rPr>
                <w:rFonts w:ascii="Courier New" w:cs="Courier New" w:eastAsia="Courier New" w:hAnsi="Courier New"/>
                <w:sz w:val="16"/>
                <w:szCs w:val="16"/>
                <w:color w:val="auto"/>
              </w:rPr>
              <w:t>----------------</w:t>
            </w:r>
          </w:p>
        </w:tc>
      </w:tr>
      <w:tr>
        <w:trPr>
          <w:trHeight w:val="554"/>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41,707</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20,023</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7,835</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856,985</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785,801</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12,486</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4,029</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4,686</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185,401</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473,844</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360,969</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81,440</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56,950</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3,492</w:t>
            </w:r>
          </w:p>
        </w:tc>
      </w:tr>
      <w:tr>
        <w:trPr>
          <w:trHeight w:val="185"/>
        </w:trPr>
        <w:tc>
          <w:tcPr>
            <w:tcW w:w="15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2"/>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7"/>
              </w:rPr>
              <w:t>1,466,462</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w w:val="97"/>
              </w:rPr>
              <w:t>1,227,772</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201,414</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397,177</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292,437</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146,172</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349</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80,501</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105,913</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71,488</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44,510</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205,643</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104,244</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15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2"/>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15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$2,116,531</w:t>
            </w:r>
          </w:p>
        </w:tc>
        <w:tc>
          <w:tcPr>
            <w:tcW w:w="3980" w:type="dxa"/>
            <w:vAlign w:val="bottom"/>
            <w:gridSpan w:val="2"/>
          </w:tcPr>
          <w:p>
            <w:pPr>
              <w:jc w:val="right"/>
              <w:ind w:right="2520"/>
              <w:spacing w:after="0"/>
              <w:rPr>
                <w:sz w:val="20"/>
                <w:szCs w:val="20"/>
                <w:color w:val="auto"/>
              </w:rPr>
            </w:pPr>
            <w:r>
              <w:rPr>
                <w:rFonts w:ascii="Courier New" w:cs="Courier New" w:eastAsia="Courier New" w:hAnsi="Courier New"/>
                <w:sz w:val="16"/>
                <w:szCs w:val="16"/>
                <w:color w:val="auto"/>
              </w:rPr>
              <w:t>$1,628,611</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$598,940</w:t>
            </w:r>
          </w:p>
        </w:tc>
      </w:tr>
      <w:tr>
        <w:trPr>
          <w:trHeight w:val="185"/>
        </w:trPr>
        <w:tc>
          <w:tcPr>
            <w:tcW w:w="15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2"/>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554"/>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$361,376</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361,512</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319,711</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5,990</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14,567</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9,523</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316,958</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223,839</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10,009</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22,951</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13,217</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15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2"/>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715,988</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566,290</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377,375</w:t>
            </w:r>
          </w:p>
        </w:tc>
      </w:tr>
      <w:tr>
        <w:trPr>
          <w:trHeight w:val="185"/>
        </w:trPr>
        <w:tc>
          <w:tcPr>
            <w:tcW w:w="15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2"/>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567,055</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378,336</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153,000</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37,558</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24,445</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23,561</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34,378</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33,938</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8,615</w:t>
            </w:r>
          </w:p>
        </w:tc>
      </w:tr>
      <w:tr>
        <w:trPr>
          <w:trHeight w:val="185"/>
        </w:trPr>
        <w:tc>
          <w:tcPr>
            <w:tcW w:w="15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2"/>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7"/>
              </w:rPr>
              <w:t>1,341,866</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w w:val="97"/>
              </w:rPr>
              <w:t>1,039,683</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538,990</w:t>
            </w:r>
          </w:p>
        </w:tc>
      </w:tr>
      <w:tr>
        <w:trPr>
          <w:trHeight w:val="554"/>
        </w:trPr>
        <w:tc>
          <w:tcPr>
            <w:tcW w:w="200" w:type="dxa"/>
            <w:vAlign w:val="bottom"/>
          </w:tcPr>
          <w:p>
            <w:pPr>
              <w:spacing w:after="0"/>
              <w:rPr>
                <w:sz w:val="24"/>
                <w:szCs w:val="24"/>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573</w:t>
            </w:r>
          </w:p>
        </w:tc>
        <w:tc>
          <w:tcPr>
            <w:tcW w:w="520" w:type="dxa"/>
            <w:vAlign w:val="bottom"/>
          </w:tcPr>
          <w:p>
            <w:pPr>
              <w:spacing w:after="0"/>
              <w:rPr>
                <w:sz w:val="24"/>
                <w:szCs w:val="24"/>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506</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360,119</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307,189</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48,834</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411,422</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287,706</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11,150</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(17,779)</w:t>
            </w:r>
          </w:p>
        </w:tc>
        <w:tc>
          <w:tcPr>
            <w:tcW w:w="520" w:type="dxa"/>
            <w:vAlign w:val="bottom"/>
          </w:tcPr>
          <w:p>
            <w:pPr>
              <w:spacing w:after="0"/>
              <w:rPr>
                <w:sz w:val="16"/>
                <w:szCs w:val="16"/>
                <w:color w:val="auto"/>
              </w:rPr>
            </w:pPr>
          </w:p>
        </w:tc>
        <w:tc>
          <w:tcPr>
            <w:tcW w:w="3460" w:type="dxa"/>
            <w:vAlign w:val="bottom"/>
          </w:tcPr>
          <w:p>
            <w:pPr>
              <w:jc w:val="right"/>
              <w:ind w:right="2420"/>
              <w:spacing w:after="0"/>
              <w:rPr>
                <w:sz w:val="20"/>
                <w:szCs w:val="20"/>
                <w:color w:val="auto"/>
              </w:rPr>
            </w:pPr>
            <w:r>
              <w:rPr>
                <w:rFonts w:ascii="Courier New" w:cs="Courier New" w:eastAsia="Courier New" w:hAnsi="Courier New"/>
                <w:sz w:val="16"/>
                <w:szCs w:val="16"/>
                <w:color w:val="auto"/>
              </w:rPr>
              <w:t>(22,587)</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3460" w:type="dxa"/>
            <w:vAlign w:val="bottom"/>
          </w:tcPr>
          <w:p>
            <w:pPr>
              <w:jc w:val="right"/>
              <w:ind w:right="2420"/>
              <w:spacing w:after="0"/>
              <w:rPr>
                <w:sz w:val="20"/>
                <w:szCs w:val="20"/>
                <w:color w:val="auto"/>
              </w:rPr>
            </w:pPr>
            <w:r>
              <w:rPr>
                <w:rFonts w:ascii="Courier New" w:cs="Courier New" w:eastAsia="Courier New" w:hAnsi="Courier New"/>
                <w:sz w:val="16"/>
                <w:szCs w:val="16"/>
                <w:color w:val="auto"/>
              </w:rPr>
              <w:t>(2,619)</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20,330</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18,733</w:t>
            </w:r>
          </w:p>
        </w:tc>
        <w:tc>
          <w:tcPr>
            <w:tcW w:w="2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(35)</w:t>
            </w:r>
          </w:p>
        </w:tc>
      </w:tr>
      <w:tr>
        <w:trPr>
          <w:trHeight w:val="185"/>
        </w:trPr>
        <w:tc>
          <w:tcPr>
            <w:tcW w:w="15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2"/>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0" w:type="dxa"/>
            <w:vAlign w:val="bottom"/>
          </w:tcPr>
          <w:p>
            <w:pPr>
              <w:spacing w:after="0"/>
              <w:rPr>
                <w:sz w:val="16"/>
                <w:szCs w:val="16"/>
                <w:color w:val="auto"/>
              </w:rPr>
            </w:pPr>
          </w:p>
        </w:tc>
        <w:tc>
          <w:tcPr>
            <w:tcW w:w="13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774,665</w:t>
            </w:r>
          </w:p>
        </w:tc>
        <w:tc>
          <w:tcPr>
            <w:tcW w:w="520" w:type="dxa"/>
            <w:vAlign w:val="bottom"/>
          </w:tcPr>
          <w:p>
            <w:pPr>
              <w:spacing w:after="0"/>
              <w:rPr>
                <w:sz w:val="16"/>
                <w:szCs w:val="16"/>
                <w:color w:val="auto"/>
              </w:rPr>
            </w:pPr>
          </w:p>
        </w:tc>
        <w:tc>
          <w:tcPr>
            <w:tcW w:w="3460" w:type="dxa"/>
            <w:vAlign w:val="bottom"/>
          </w:tcPr>
          <w:p>
            <w:pPr>
              <w:jc w:val="right"/>
              <w:ind w:right="2520"/>
              <w:spacing w:after="0"/>
              <w:rPr>
                <w:sz w:val="20"/>
                <w:szCs w:val="20"/>
                <w:color w:val="auto"/>
              </w:rPr>
            </w:pPr>
            <w:r>
              <w:rPr>
                <w:rFonts w:ascii="Courier New" w:cs="Courier New" w:eastAsia="Courier New" w:hAnsi="Courier New"/>
                <w:sz w:val="16"/>
                <w:szCs w:val="16"/>
                <w:color w:val="auto"/>
              </w:rPr>
              <w:t>588,928</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59,950</w:t>
            </w:r>
          </w:p>
        </w:tc>
      </w:tr>
      <w:tr>
        <w:trPr>
          <w:trHeight w:val="185"/>
        </w:trPr>
        <w:tc>
          <w:tcPr>
            <w:tcW w:w="15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2"/>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15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$2,116,531</w:t>
            </w:r>
          </w:p>
        </w:tc>
        <w:tc>
          <w:tcPr>
            <w:tcW w:w="3980" w:type="dxa"/>
            <w:vAlign w:val="bottom"/>
            <w:gridSpan w:val="2"/>
          </w:tcPr>
          <w:p>
            <w:pPr>
              <w:jc w:val="right"/>
              <w:ind w:right="2520"/>
              <w:spacing w:after="0"/>
              <w:rPr>
                <w:sz w:val="20"/>
                <w:szCs w:val="20"/>
                <w:color w:val="auto"/>
              </w:rPr>
            </w:pPr>
            <w:r>
              <w:rPr>
                <w:rFonts w:ascii="Courier New" w:cs="Courier New" w:eastAsia="Courier New" w:hAnsi="Courier New"/>
                <w:sz w:val="16"/>
                <w:szCs w:val="16"/>
                <w:color w:val="auto"/>
              </w:rPr>
              <w:t>$1,628,611</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$598,940</w:t>
            </w:r>
          </w:p>
        </w:tc>
      </w:tr>
      <w:tr>
        <w:trPr>
          <w:trHeight w:val="185"/>
        </w:trPr>
        <w:tc>
          <w:tcPr>
            <w:tcW w:w="15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2"/>
          </w:tcPr>
          <w:p>
            <w:pPr>
              <w:jc w:val="right"/>
              <w:ind w:right="252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ectPr>
          <w:pgSz w:w="11900" w:h="16838" w:orient="portrait"/>
          <w:cols w:equalWidth="0" w:num="1">
            <w:col w:w="9939"/>
          </w:cols>
          <w:pgMar w:left="520" w:top="30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(IN THOUSANDS, EXCEPT SHARE DATA)</w:t>
      </w:r>
    </w:p>
    <w:p>
      <w:pPr>
        <w:spacing w:after="0" w:line="200" w:lineRule="exact"/>
        <w:rPr>
          <w:sz w:val="20"/>
          <w:szCs w:val="20"/>
          <w:color w:val="auto"/>
        </w:rPr>
      </w:pPr>
    </w:p>
    <w:p>
      <w:pPr>
        <w:spacing w:after="0" w:line="360"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Balance, December 31, 1993..................................</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Net income................................................</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Issuance of common stock, net of offering expenses........</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Issuance of restricted stock..............................</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Three-for-two common stock split..........................</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Conversions of preferred stock into common stock..........</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Stock options granted.....................................</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Stock options exercised...................................</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Common stock dividends....................................</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Preferred stock dividends.................................</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Amortization of unearned compensation.....................</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Additional minimum pension liability......................</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Change in cumulative translation adjustment...............</w:t>
      </w:r>
    </w:p>
    <w:p>
      <w:pPr>
        <w:spacing w:after="0" w:line="1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Balance, December 31, 1994..................................</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Net income................................................</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Issuance of restricted stock..............................</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Two-for-one common stock split............................</w:t>
      </w:r>
    </w:p>
    <w:p>
      <w:pPr>
        <w:spacing w:after="0" w:line="13"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Conversions of subordinated debentures into common</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stock..................................................</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Conversions of preferred stock into subordinated</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debentures.............................................</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Conversions of preferred stock into common stock..........</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Stock options exercised...................................</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Common stock dividends....................................</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Preferred stock dividends.................................</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Amortization of unearned compensation.....................</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Additional minimum pension liability......................</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Change in cumulative translation adjustment...............</w:t>
      </w:r>
    </w:p>
    <w:p>
      <w:pPr>
        <w:spacing w:after="0" w:line="1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Balance, December 31, 1995..................................</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Net income................................................</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Issuance of restricted stock..............................</w:t>
      </w:r>
    </w:p>
    <w:p>
      <w:pPr>
        <w:spacing w:after="0" w:line="13"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Conversions of subordinated debentures into common</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Stock options exercised...................................</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Common stock dividends....................................</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Amortization of unearned compensation.....................</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Additional minimum pension liability......................</w:t>
      </w:r>
    </w:p>
    <w:p>
      <w:pPr>
        <w:spacing w:after="0" w:line="1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Change in cumulative translation adjustment...............</w:t>
      </w:r>
    </w:p>
    <w:p>
      <w:pPr>
        <w:spacing w:after="0" w:line="1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Balance, December 31, 1996..................................</w:t>
      </w:r>
    </w:p>
    <w:p>
      <w:pPr>
        <w:sectPr>
          <w:pgSz w:w="11900" w:h="16838" w:orient="portrait"/>
          <w:cols w:equalWidth="0" w:num="1">
            <w:col w:w="9939"/>
          </w:cols>
          <w:pgMar w:left="520" w:top="300" w:right="1440" w:bottom="1440" w:gutter="0" w:footer="0" w:header="0"/>
        </w:sectPr>
      </w:pPr>
    </w:p>
    <w:bookmarkStart w:id="24" w:name="page25"/>
    <w:bookmarkEnd w:id="24"/>
    <w:p>
      <w:pPr>
        <w:ind w:left="8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CONSOLIDATED STATEMENTS OF STOCKHOLDERS' EQUITY -- (CONTINUED)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2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rPr>
              <w:t>(IN THOUSANDS, EXCEPT SHARE DATA)</w:t>
            </w: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39"/>
        </w:trPr>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ADDITIONAL</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18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PREFERRED STOCK</w:t>
            </w:r>
          </w:p>
        </w:tc>
        <w:tc>
          <w:tcPr>
            <w:tcW w:w="212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COMMON STOCK</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ADDITIONAL</w:t>
            </w: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MINIMUM</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CUMULATIVE</w:t>
            </w:r>
          </w:p>
        </w:tc>
        <w:tc>
          <w:tcPr>
            <w:tcW w:w="1000" w:type="dxa"/>
            <w:vAlign w:val="bottom"/>
          </w:tcPr>
          <w:p>
            <w:pPr>
              <w:spacing w:after="0"/>
              <w:rPr>
                <w:sz w:val="16"/>
                <w:szCs w:val="16"/>
                <w:color w:val="auto"/>
              </w:rPr>
            </w:pPr>
          </w:p>
        </w:tc>
      </w:tr>
      <w:tr>
        <w:trPr>
          <w:trHeight w:val="185"/>
        </w:trPr>
        <w:tc>
          <w:tcPr>
            <w:tcW w:w="18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PAID-IN</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RETAINED</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UNEARNED</w:t>
            </w:r>
          </w:p>
        </w:tc>
        <w:tc>
          <w:tcPr>
            <w:tcW w:w="12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PENSION</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TRANSLATION</w:t>
            </w:r>
          </w:p>
        </w:tc>
        <w:tc>
          <w:tcPr>
            <w:tcW w:w="1000" w:type="dxa"/>
            <w:vAlign w:val="bottom"/>
          </w:tcPr>
          <w:p>
            <w:pPr>
              <w:spacing w:after="0"/>
              <w:rPr>
                <w:sz w:val="16"/>
                <w:szCs w:val="16"/>
                <w:color w:val="auto"/>
              </w:rPr>
            </w:pPr>
          </w:p>
        </w:tc>
      </w:tr>
      <w:tr>
        <w:trPr>
          <w:trHeight w:val="185"/>
        </w:trPr>
        <w:tc>
          <w:tcPr>
            <w:tcW w:w="1040" w:type="dxa"/>
            <w:vAlign w:val="bottom"/>
          </w:tcPr>
          <w:p>
            <w:pPr>
              <w:ind w:left="80"/>
              <w:spacing w:after="0"/>
              <w:rPr>
                <w:sz w:val="20"/>
                <w:szCs w:val="20"/>
                <w:color w:val="auto"/>
              </w:rPr>
            </w:pPr>
            <w:r>
              <w:rPr>
                <w:rFonts w:ascii="Courier New" w:cs="Courier New" w:eastAsia="Courier New" w:hAnsi="Courier New"/>
                <w:sz w:val="16"/>
                <w:szCs w:val="16"/>
                <w:color w:val="auto"/>
              </w:rPr>
              <w:t>SHARES</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AMOUNT</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SHARES</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AMOUNT</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CAPITAL</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EARNINGS</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COMPENSATION</w:t>
            </w:r>
          </w:p>
        </w:tc>
        <w:tc>
          <w:tcPr>
            <w:tcW w:w="1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LIABILITY</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ADJUSTMENT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$ 368,000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4</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8,989,779</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$ 90</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$160,447</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$ 51,837</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(292)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(155)</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298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$212,229</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115,534</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115,534</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4,237,500</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151,562</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151,604</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243,000</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11,542</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(11,545)</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7,227,398</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72</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(72)</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(66,442)</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876,641</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352</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(352)</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115,291</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741</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742</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(467)</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(467)</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(5,421)</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(5,421)</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1,595</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1,595</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(183)</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(183)</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1,033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1,033</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301,558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21,689,609</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217</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324,564</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161,483</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(10,594)</w:t>
            </w:r>
          </w:p>
        </w:tc>
        <w:tc>
          <w:tcPr>
            <w:tcW w:w="3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(338)</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1,331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476,666</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129,142</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129,142</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454,000</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19,165</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(19,170)</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25,278,520</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253</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(253)</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2,315,661</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29,267</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29,290</w:t>
            </w:r>
          </w:p>
        </w:tc>
      </w:tr>
      <w:tr>
        <w:trPr>
          <w:trHeight w:val="185"/>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(267,453)</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(66,845)</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(66,848)</w:t>
            </w:r>
          </w:p>
        </w:tc>
      </w:tr>
      <w:tr>
        <w:trPr>
          <w:trHeight w:val="185"/>
        </w:trPr>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(34,105)</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673,094</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146,156</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1,298</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1,299</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(907)</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(907)</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(2,012)</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(2,012)</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7,177</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7,177</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(2,281)</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(2,281)</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17,402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17,402</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50,557,040</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506</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307,189</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287,706</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(22,587)</w:t>
            </w:r>
          </w:p>
        </w:tc>
        <w:tc>
          <w:tcPr>
            <w:tcW w:w="34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(2,619)</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18,733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588,928</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125,887</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125,887</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474,500</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13,690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(13,695)</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5,916,319</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37,499</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37,558</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312,292</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1,741</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1,744</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(2,171)</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(2,171)</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18,503</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18,503</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2,619</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2,619</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1,597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1,597</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57,260,151</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$573</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$360,119</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$411,422</w:t>
            </w:r>
          </w:p>
        </w:tc>
        <w:tc>
          <w:tcPr>
            <w:tcW w:w="13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$(17,779)</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$20,330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$774,665</w:t>
            </w:r>
          </w:p>
        </w:tc>
      </w:tr>
      <w:tr>
        <w:trPr>
          <w:trHeight w:val="185"/>
        </w:trPr>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ectPr>
          <w:pgSz w:w="11900" w:h="16838" w:orient="portrait"/>
          <w:cols w:equalWidth="0" w:num="1">
            <w:col w:w="11320"/>
          </w:cols>
          <w:pgMar w:left="440" w:top="300" w:right="139"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(IN THOUSANDS)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9"/>
        </w:trPr>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CONSOLIDATED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5660" w:type="dxa"/>
            <w:vAlign w:val="bottom"/>
          </w:tcPr>
          <w:p>
            <w:pPr>
              <w:spacing w:after="0"/>
              <w:rPr>
                <w:sz w:val="16"/>
                <w:szCs w:val="16"/>
                <w:color w:val="auto"/>
              </w:rPr>
            </w:pPr>
          </w:p>
        </w:tc>
        <w:tc>
          <w:tcPr>
            <w:tcW w:w="3760" w:type="dxa"/>
            <w:vAlign w:val="bottom"/>
            <w:gridSpan w:val="6"/>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gridSpan w:val="5"/>
          </w:tcPr>
          <w:p>
            <w:pPr>
              <w:jc w:val="right"/>
              <w:ind w:right="700"/>
              <w:spacing w:after="0"/>
              <w:rPr>
                <w:sz w:val="20"/>
                <w:szCs w:val="20"/>
                <w:color w:val="auto"/>
              </w:rPr>
            </w:pPr>
            <w:r>
              <w:rPr>
                <w:rFonts w:ascii="Courier New" w:cs="Courier New" w:eastAsia="Courier New" w:hAnsi="Courier New"/>
                <w:sz w:val="16"/>
                <w:szCs w:val="16"/>
                <w:color w:val="auto"/>
              </w:rPr>
              <w:t>YEAR ENDED DECEMBER 31,</w:t>
            </w:r>
          </w:p>
        </w:tc>
      </w:tr>
      <w:tr>
        <w:trPr>
          <w:trHeight w:val="185"/>
        </w:trPr>
        <w:tc>
          <w:tcPr>
            <w:tcW w:w="5660" w:type="dxa"/>
            <w:vAlign w:val="bottom"/>
          </w:tcPr>
          <w:p>
            <w:pPr>
              <w:spacing w:after="0"/>
              <w:rPr>
                <w:sz w:val="16"/>
                <w:szCs w:val="16"/>
                <w:color w:val="auto"/>
              </w:rPr>
            </w:pPr>
          </w:p>
        </w:tc>
        <w:tc>
          <w:tcPr>
            <w:tcW w:w="3760" w:type="dxa"/>
            <w:vAlign w:val="bottom"/>
            <w:gridSpan w:val="6"/>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1995</w:t>
            </w:r>
          </w:p>
        </w:tc>
        <w:tc>
          <w:tcPr>
            <w:tcW w:w="200" w:type="dxa"/>
            <w:vAlign w:val="bottom"/>
          </w:tcPr>
          <w:p>
            <w:pPr>
              <w:spacing w:after="0"/>
              <w:rPr>
                <w:sz w:val="16"/>
                <w:szCs w:val="16"/>
                <w:color w:val="auto"/>
              </w:rPr>
            </w:pP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6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660" w:type="dxa"/>
            <w:vAlign w:val="bottom"/>
          </w:tcPr>
          <w:p>
            <w:pPr>
              <w:jc w:val="right"/>
              <w:ind w:right="2020"/>
              <w:spacing w:after="0"/>
              <w:rPr>
                <w:sz w:val="20"/>
                <w:szCs w:val="20"/>
                <w:color w:val="auto"/>
              </w:rPr>
            </w:pPr>
            <w:r>
              <w:rPr>
                <w:rFonts w:ascii="Courier New" w:cs="Courier New" w:eastAsia="Courier New" w:hAnsi="Courier New"/>
                <w:sz w:val="16"/>
                <w:szCs w:val="16"/>
                <w:color w:val="auto"/>
                <w:w w:val="99"/>
              </w:rPr>
              <w:t>Cash flows from operating activities: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125,887</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129,142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115,534</w:t>
            </w:r>
          </w:p>
        </w:tc>
      </w:tr>
      <w:tr>
        <w:trPr>
          <w:trHeight w:val="185"/>
        </w:trPr>
        <w:tc>
          <w:tcPr>
            <w:tcW w:w="56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income to net cash provided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660" w:type="dxa"/>
            <w:vAlign w:val="bottom"/>
          </w:tcPr>
          <w:p>
            <w:pPr>
              <w:ind w:left="480"/>
              <w:spacing w:after="0"/>
              <w:rPr>
                <w:sz w:val="20"/>
                <w:szCs w:val="20"/>
                <w:color w:val="auto"/>
              </w:rPr>
            </w:pPr>
            <w:r>
              <w:rPr>
                <w:rFonts w:ascii="Courier New" w:cs="Courier New" w:eastAsia="Courier New" w:hAnsi="Courier New"/>
                <w:sz w:val="16"/>
                <w:szCs w:val="16"/>
                <w:color w:val="auto"/>
              </w:rPr>
              <w:t>by operating activities: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660" w:type="dxa"/>
            <w:vAlign w:val="bottom"/>
          </w:tcPr>
          <w:p>
            <w:pPr>
              <w:ind w:left="480"/>
              <w:spacing w:after="0"/>
              <w:rPr>
                <w:sz w:val="20"/>
                <w:szCs w:val="20"/>
                <w:color w:val="auto"/>
              </w:rPr>
            </w:pPr>
            <w:r>
              <w:rPr>
                <w:rFonts w:ascii="Courier New" w:cs="Courier New" w:eastAsia="Courier New" w:hAnsi="Courier New"/>
                <w:sz w:val="16"/>
                <w:szCs w:val="16"/>
                <w:color w:val="auto"/>
              </w:rPr>
              <w:t>Extraordinary loss, net of taxes.....................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3,503</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ind w:left="480"/>
              <w:spacing w:after="0"/>
              <w:rPr>
                <w:sz w:val="20"/>
                <w:szCs w:val="20"/>
                <w:color w:val="auto"/>
              </w:rPr>
            </w:pPr>
            <w:r>
              <w:rPr>
                <w:rFonts w:ascii="Courier New" w:cs="Courier New" w:eastAsia="Courier New" w:hAnsi="Courier New"/>
                <w:sz w:val="16"/>
                <w:szCs w:val="16"/>
                <w:color w:val="auto"/>
              </w:rPr>
              <w:t>Gain on sale of Agricredit...........................</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(4,745)</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ind w:left="480"/>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29,199</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24,288</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15,713</w:t>
            </w:r>
          </w:p>
        </w:tc>
      </w:tr>
      <w:tr>
        <w:trPr>
          <w:trHeight w:val="185"/>
        </w:trPr>
        <w:tc>
          <w:tcPr>
            <w:tcW w:w="5660" w:type="dxa"/>
            <w:vAlign w:val="bottom"/>
          </w:tcPr>
          <w:p>
            <w:pPr>
              <w:ind w:left="480"/>
              <w:spacing w:after="0"/>
              <w:rPr>
                <w:sz w:val="20"/>
                <w:szCs w:val="20"/>
                <w:color w:val="auto"/>
              </w:rPr>
            </w:pPr>
            <w:r>
              <w:rPr>
                <w:rFonts w:ascii="Courier New" w:cs="Courier New" w:eastAsia="Courier New" w:hAnsi="Courier New"/>
                <w:sz w:val="16"/>
                <w:szCs w:val="16"/>
                <w:color w:val="auto"/>
              </w:rPr>
              <w:t>Equity in net earnings of unconsolidated subsidiary</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and affiliates, net of cash received...............</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(17,724)</w:t>
            </w:r>
          </w:p>
        </w:tc>
        <w:tc>
          <w:tcPr>
            <w:tcW w:w="2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(4,458)</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(3,031)</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 provision (benefit)..............</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20,097</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32,915</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(40,958)</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Amortization of intangibles..........................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5,761</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4,007</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2,044</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Amortization of unearned compensation................</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18,503</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7,177</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1,595</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Provision for losses on credit receivables...........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4,279</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4,691</w:t>
            </w:r>
          </w:p>
        </w:tc>
      </w:tr>
      <w:tr>
        <w:trPr>
          <w:trHeight w:val="185"/>
        </w:trPr>
        <w:tc>
          <w:tcPr>
            <w:tcW w:w="5660" w:type="dxa"/>
            <w:vAlign w:val="bottom"/>
          </w:tcPr>
          <w:p>
            <w:pPr>
              <w:ind w:left="480"/>
              <w:spacing w:after="0"/>
              <w:rPr>
                <w:sz w:val="20"/>
                <w:szCs w:val="20"/>
                <w:color w:val="auto"/>
              </w:rPr>
            </w:pPr>
            <w:r>
              <w:rPr>
                <w:rFonts w:ascii="Courier New" w:cs="Courier New" w:eastAsia="Courier New" w:hAnsi="Courier New"/>
                <w:sz w:val="16"/>
                <w:szCs w:val="16"/>
                <w:color w:val="auto"/>
              </w:rPr>
              <w:t>Changes in operating assets and liabilities, net of</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660" w:type="dxa"/>
            <w:vAlign w:val="bottom"/>
          </w:tcPr>
          <w:p>
            <w:pPr>
              <w:jc w:val="right"/>
              <w:ind w:right="1440"/>
              <w:spacing w:after="0"/>
              <w:rPr>
                <w:sz w:val="20"/>
                <w:szCs w:val="20"/>
                <w:color w:val="auto"/>
              </w:rPr>
            </w:pPr>
            <w:r>
              <w:rPr>
                <w:rFonts w:ascii="Courier New" w:cs="Courier New" w:eastAsia="Courier New" w:hAnsi="Courier New"/>
                <w:sz w:val="16"/>
                <w:szCs w:val="16"/>
                <w:color w:val="auto"/>
              </w:rPr>
              <w:t>effects from purchase of businesses: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Accounts and notes receivable, net.................</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3,743</w:t>
            </w:r>
          </w:p>
        </w:tc>
        <w:tc>
          <w:tcPr>
            <w:tcW w:w="2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(131,341)</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(84,458)</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Inventories, net...................................</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(22,646)</w:t>
            </w:r>
          </w:p>
        </w:tc>
        <w:tc>
          <w:tcPr>
            <w:tcW w:w="2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(32,273)</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30,683</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and noncurrent assets................</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(14,099)</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2,794</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247</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(9,384)</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8,076</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32,498</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Accrued expenses...................................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54,306</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16,624</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19,039</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and noncurrent liabilities...........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14,259</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5,898</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2,767</w:t>
            </w:r>
          </w:p>
        </w:tc>
      </w:tr>
      <w:tr>
        <w:trPr>
          <w:trHeight w:val="185"/>
        </w:trPr>
        <w:tc>
          <w:tcPr>
            <w:tcW w:w="56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Total adjustments...............................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80,773</w:t>
            </w:r>
          </w:p>
        </w:tc>
        <w:tc>
          <w:tcPr>
            <w:tcW w:w="2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(62,014)</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(19,170)</w:t>
            </w:r>
          </w:p>
        </w:tc>
      </w:tr>
      <w:tr>
        <w:trPr>
          <w:trHeight w:val="185"/>
        </w:trPr>
        <w:tc>
          <w:tcPr>
            <w:tcW w:w="56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206,660</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67,128</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96,364</w:t>
            </w:r>
          </w:p>
        </w:tc>
      </w:tr>
      <w:tr>
        <w:trPr>
          <w:trHeight w:val="185"/>
        </w:trPr>
        <w:tc>
          <w:tcPr>
            <w:tcW w:w="56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jc w:val="right"/>
              <w:ind w:right="2020"/>
              <w:spacing w:after="0"/>
              <w:rPr>
                <w:sz w:val="20"/>
                <w:szCs w:val="20"/>
                <w:color w:val="auto"/>
              </w:rPr>
            </w:pPr>
            <w:r>
              <w:rPr>
                <w:rFonts w:ascii="Courier New" w:cs="Courier New" w:eastAsia="Courier New" w:hAnsi="Courier New"/>
                <w:sz w:val="16"/>
                <w:szCs w:val="16"/>
                <w:color w:val="auto"/>
                <w:w w:val="99"/>
              </w:rPr>
              <w:t>Cash flows from investing activities: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Purchase of businesses, net of cash acquired............</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(347,075)</w:t>
            </w:r>
          </w:p>
        </w:tc>
        <w:tc>
          <w:tcPr>
            <w:tcW w:w="2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(27,044)</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(324,249)</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Purchase of property, plant and equipment...............</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(45,180)</w:t>
            </w:r>
          </w:p>
        </w:tc>
        <w:tc>
          <w:tcPr>
            <w:tcW w:w="2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(45,259)</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(20,661)</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Credit receivables originated...........................</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(393,510)</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(327,636)</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Principal collected on credit receivables...............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286,009</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224,289</w:t>
            </w:r>
          </w:p>
        </w:tc>
      </w:tr>
      <w:tr>
        <w:trPr>
          <w:trHeight w:val="185"/>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Proceeds from disposition of (investments in)</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unconsolidated subsidiary and affiliates.............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45,216</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1,070</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Net cash used for investing activities..........</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(347,039)</w:t>
            </w:r>
          </w:p>
        </w:tc>
        <w:tc>
          <w:tcPr>
            <w:tcW w:w="2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(178,734)</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(448,257)</w:t>
            </w:r>
          </w:p>
        </w:tc>
      </w:tr>
      <w:tr>
        <w:trPr>
          <w:trHeight w:val="185"/>
        </w:trPr>
        <w:tc>
          <w:tcPr>
            <w:tcW w:w="56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jc w:val="right"/>
              <w:ind w:right="2020"/>
              <w:spacing w:after="0"/>
              <w:rPr>
                <w:sz w:val="20"/>
                <w:szCs w:val="20"/>
                <w:color w:val="auto"/>
              </w:rPr>
            </w:pPr>
            <w:r>
              <w:rPr>
                <w:rFonts w:ascii="Courier New" w:cs="Courier New" w:eastAsia="Courier New" w:hAnsi="Courier New"/>
                <w:sz w:val="16"/>
                <w:szCs w:val="16"/>
                <w:color w:val="auto"/>
                <w:w w:val="99"/>
              </w:rPr>
              <w:t>Cash flows from financing activities: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Proceeds from long-term debt............................</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977,737</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1,467,499</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1,619,507</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Payment on long-term debt...............................</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(803,196)</w:t>
            </w:r>
          </w:p>
        </w:tc>
        <w:tc>
          <w:tcPr>
            <w:tcW w:w="2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(1,352,620)</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(1,367,368)</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Payment of debt issuance costs..........................</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(12,473)</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Proceeds from issuance of common stock..................</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1,744</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1,299</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133,721</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Dividends received (paid) from finance company..........</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Dividends paid on common stock..........................</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(2,171)</w:t>
            </w:r>
          </w:p>
        </w:tc>
        <w:tc>
          <w:tcPr>
            <w:tcW w:w="2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(907)</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(467)</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Dividends paid on preferred stock.......................</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(2,420)</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(5,511)</w:t>
            </w:r>
          </w:p>
        </w:tc>
      </w:tr>
      <w:tr>
        <w:trPr>
          <w:trHeight w:val="185"/>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(Payments) proceeds on short-term borrowings from</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unconsolidated subsidiary............................</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(3,440)</w:t>
            </w:r>
          </w:p>
        </w:tc>
      </w:tr>
      <w:tr>
        <w:trPr>
          <w:trHeight w:val="185"/>
        </w:trPr>
        <w:tc>
          <w:tcPr>
            <w:tcW w:w="56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161,641</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112,851</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376,442</w:t>
            </w:r>
          </w:p>
        </w:tc>
      </w:tr>
      <w:tr>
        <w:trPr>
          <w:trHeight w:val="185"/>
        </w:trPr>
        <w:tc>
          <w:tcPr>
            <w:tcW w:w="56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ind w:left="200"/>
              <w:spacing w:after="0"/>
              <w:rPr>
                <w:sz w:val="20"/>
                <w:szCs w:val="20"/>
                <w:color w:val="auto"/>
              </w:rPr>
            </w:pPr>
            <w:r>
              <w:rPr>
                <w:rFonts w:ascii="Courier New" w:cs="Courier New" w:eastAsia="Courier New" w:hAnsi="Courier New"/>
                <w:sz w:val="16"/>
                <w:szCs w:val="16"/>
                <w:color w:val="auto"/>
              </w:rPr>
              <w:t>Effect of exchange rate changes on cash and cash</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equivalents..........................................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422</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787</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1,063</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Increase (decrease) in cash and cash equivalents........</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21,684</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2,032</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25,612</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0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20,023</w:t>
            </w:r>
          </w:p>
        </w:tc>
        <w:tc>
          <w:tcPr>
            <w:tcW w:w="20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25,826</w:t>
            </w: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214</w:t>
            </w:r>
          </w:p>
        </w:tc>
      </w:tr>
      <w:tr>
        <w:trPr>
          <w:trHeight w:val="185"/>
        </w:trPr>
        <w:tc>
          <w:tcPr>
            <w:tcW w:w="56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end of period................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41,707</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27,858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25,826</w:t>
            </w:r>
          </w:p>
        </w:tc>
      </w:tr>
      <w:tr>
        <w:trPr>
          <w:trHeight w:val="185"/>
        </w:trPr>
        <w:tc>
          <w:tcPr>
            <w:tcW w:w="56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960" w:type="dxa"/>
            <w:vAlign w:val="bottom"/>
          </w:tcPr>
          <w:p>
            <w:pPr>
              <w:spacing w:after="0"/>
              <w:rPr>
                <w:sz w:val="15"/>
                <w:szCs w:val="15"/>
                <w:color w:val="auto"/>
              </w:rPr>
            </w:pPr>
          </w:p>
        </w:tc>
        <w:tc>
          <w:tcPr>
            <w:tcW w:w="5100" w:type="dxa"/>
            <w:vAlign w:val="bottom"/>
            <w:gridSpan w:val="4"/>
          </w:tcPr>
          <w:p>
            <w:pPr>
              <w:jc w:val="right"/>
              <w:ind w:right="980"/>
              <w:spacing w:after="0"/>
              <w:rPr>
                <w:sz w:val="20"/>
                <w:szCs w:val="20"/>
                <w:color w:val="auto"/>
              </w:rPr>
            </w:pPr>
            <w:r>
              <w:rPr>
                <w:rFonts w:ascii="Courier New" w:cs="Courier New" w:eastAsia="Courier New" w:hAnsi="Courier New"/>
                <w:sz w:val="16"/>
                <w:szCs w:val="16"/>
                <w:color w:val="auto"/>
              </w:rPr>
              <w:t>AGCO CORPORATION AND SUBSIDIARIES</w:t>
            </w: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70"/>
        </w:trPr>
        <w:tc>
          <w:tcPr>
            <w:tcW w:w="96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Courier New" w:cs="Courier New" w:eastAsia="Courier New" w:hAnsi="Courier New"/>
                <w:sz w:val="16"/>
                <w:szCs w:val="16"/>
                <w:color w:val="auto"/>
              </w:rPr>
              <w:t>CONSOLIDATED STATEMENTS OF CASH FLOWS</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 (CONTINUED)</w:t>
            </w: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5"/>
        </w:trPr>
        <w:tc>
          <w:tcPr>
            <w:tcW w:w="960" w:type="dxa"/>
            <w:vAlign w:val="bottom"/>
          </w:tcPr>
          <w:p>
            <w:pPr>
              <w:spacing w:after="0"/>
              <w:rPr>
                <w:sz w:val="16"/>
                <w:szCs w:val="16"/>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739"/>
        </w:trPr>
        <w:tc>
          <w:tcPr>
            <w:tcW w:w="96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6"/>
                <w:szCs w:val="16"/>
                <w:color w:val="auto"/>
              </w:rPr>
              <w:t>EQUIPMENT OPERATIONS</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60" w:type="dxa"/>
            <w:vAlign w:val="bottom"/>
            <w:gridSpan w:val="3"/>
          </w:tcPr>
          <w:p>
            <w:pPr>
              <w:jc w:val="right"/>
              <w:ind w:right="1180"/>
              <w:spacing w:after="0"/>
              <w:rPr>
                <w:sz w:val="20"/>
                <w:szCs w:val="20"/>
                <w:color w:val="auto"/>
              </w:rPr>
            </w:pPr>
            <w:r>
              <w:rPr>
                <w:rFonts w:ascii="Courier New" w:cs="Courier New" w:eastAsia="Courier New" w:hAnsi="Courier New"/>
                <w:sz w:val="16"/>
                <w:szCs w:val="16"/>
                <w:color w:val="auto"/>
              </w:rPr>
              <w:t>FINANCE COMPANY</w:t>
            </w:r>
          </w:p>
        </w:tc>
      </w:tr>
      <w:tr>
        <w:trPr>
          <w:trHeight w:val="185"/>
        </w:trPr>
        <w:tc>
          <w:tcPr>
            <w:tcW w:w="3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w:t>
            </w:r>
          </w:p>
        </w:tc>
        <w:tc>
          <w:tcPr>
            <w:tcW w:w="1100" w:type="dxa"/>
            <w:vAlign w:val="bottom"/>
          </w:tcPr>
          <w:p>
            <w:pPr>
              <w:spacing w:after="0"/>
              <w:rPr>
                <w:sz w:val="16"/>
                <w:szCs w:val="16"/>
                <w:color w:val="auto"/>
              </w:rPr>
            </w:pPr>
          </w:p>
        </w:tc>
        <w:tc>
          <w:tcPr>
            <w:tcW w:w="3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100" w:type="dxa"/>
            <w:vAlign w:val="bottom"/>
          </w:tcPr>
          <w:p>
            <w:pPr>
              <w:spacing w:after="0"/>
              <w:rPr>
                <w:sz w:val="16"/>
                <w:szCs w:val="16"/>
                <w:color w:val="auto"/>
              </w:rPr>
            </w:pPr>
          </w:p>
        </w:tc>
        <w:tc>
          <w:tcPr>
            <w:tcW w:w="18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YEAR ENDED</w:t>
            </w:r>
          </w:p>
        </w:tc>
        <w:tc>
          <w:tcPr>
            <w:tcW w:w="20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FOR THE PERIOD FROM</w:t>
            </w:r>
          </w:p>
        </w:tc>
      </w:tr>
      <w:tr>
        <w:trPr>
          <w:trHeight w:val="185"/>
        </w:trPr>
        <w:tc>
          <w:tcPr>
            <w:tcW w:w="3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w:t>
            </w:r>
          </w:p>
        </w:tc>
        <w:tc>
          <w:tcPr>
            <w:tcW w:w="1100" w:type="dxa"/>
            <w:vAlign w:val="bottom"/>
          </w:tcPr>
          <w:p>
            <w:pPr>
              <w:spacing w:after="0"/>
              <w:rPr>
                <w:sz w:val="16"/>
                <w:szCs w:val="16"/>
                <w:color w:val="auto"/>
              </w:rPr>
            </w:pPr>
          </w:p>
        </w:tc>
        <w:tc>
          <w:tcPr>
            <w:tcW w:w="188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DECEMBER 31,</w:t>
            </w:r>
          </w:p>
        </w:tc>
        <w:tc>
          <w:tcPr>
            <w:tcW w:w="20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FEBRUARY 11, 1994</w:t>
            </w:r>
          </w:p>
        </w:tc>
      </w:tr>
      <w:tr>
        <w:trPr>
          <w:trHeight w:val="185"/>
        </w:trPr>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1996</w:t>
            </w:r>
          </w:p>
        </w:tc>
        <w:tc>
          <w:tcPr>
            <w:tcW w:w="212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1994</w:t>
            </w:r>
          </w:p>
        </w:tc>
        <w:tc>
          <w:tcPr>
            <w:tcW w:w="440" w:type="dxa"/>
            <w:vAlign w:val="bottom"/>
          </w:tcPr>
          <w:p>
            <w:pPr>
              <w:spacing w:after="0"/>
              <w:rPr>
                <w:sz w:val="16"/>
                <w:szCs w:val="16"/>
                <w:color w:val="auto"/>
              </w:rPr>
            </w:pPr>
          </w:p>
        </w:tc>
        <w:tc>
          <w:tcPr>
            <w:tcW w:w="14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1995</w:t>
            </w:r>
          </w:p>
        </w:tc>
        <w:tc>
          <w:tcPr>
            <w:tcW w:w="20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TO DECEMBER 31, 1994</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88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$ 125,887</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$ 129,142</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$ 115,534</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6,782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4,868</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8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3,503</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(4,745)</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29,199</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24,166</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15,659</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122</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54</w:t>
            </w:r>
          </w:p>
        </w:tc>
      </w:tr>
      <w:tr>
        <w:trPr>
          <w:trHeight w:val="185"/>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(17,724)</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(11,240)</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(7,899)</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20,097</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33,920</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(38,961)</w:t>
            </w:r>
          </w:p>
        </w:tc>
        <w:tc>
          <w:tcPr>
            <w:tcW w:w="44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(1,005)</w:t>
            </w:r>
          </w:p>
        </w:tc>
        <w:tc>
          <w:tcPr>
            <w:tcW w:w="660" w:type="dxa"/>
            <w:vAlign w:val="bottom"/>
          </w:tcPr>
          <w:p>
            <w:pPr>
              <w:spacing w:after="0"/>
              <w:rPr>
                <w:sz w:val="16"/>
                <w:szCs w:val="16"/>
                <w:color w:val="auto"/>
              </w:rPr>
            </w:pP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(1,997)</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5,761</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4,007</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2,044</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18,503</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7,177</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1,595</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4,279</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4,691</w:t>
            </w:r>
          </w:p>
        </w:tc>
      </w:tr>
      <w:tr>
        <w:trPr>
          <w:trHeight w:val="370"/>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3,743</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(144,469)</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(92,063)</w:t>
            </w:r>
          </w:p>
        </w:tc>
        <w:tc>
          <w:tcPr>
            <w:tcW w:w="440" w:type="dxa"/>
            <w:vAlign w:val="bottom"/>
          </w:tcPr>
          <w:p>
            <w:pPr>
              <w:spacing w:after="0"/>
              <w:rPr>
                <w:sz w:val="24"/>
                <w:szCs w:val="24"/>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24"/>
                <w:szCs w:val="24"/>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(22,646)</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(32,273)</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30,683</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(14,099)</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3,048</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306</w:t>
            </w:r>
          </w:p>
        </w:tc>
        <w:tc>
          <w:tcPr>
            <w:tcW w:w="44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(254)</w:t>
            </w:r>
          </w:p>
        </w:tc>
        <w:tc>
          <w:tcPr>
            <w:tcW w:w="660" w:type="dxa"/>
            <w:vAlign w:val="bottom"/>
          </w:tcPr>
          <w:p>
            <w:pPr>
              <w:spacing w:after="0"/>
              <w:rPr>
                <w:sz w:val="16"/>
                <w:szCs w:val="16"/>
                <w:color w:val="auto"/>
              </w:rPr>
            </w:pP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(59)</w:t>
            </w:r>
          </w:p>
        </w:tc>
      </w:tr>
      <w:tr>
        <w:trPr>
          <w:trHeight w:val="185"/>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(9,384)</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32,812</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30,711</w:t>
            </w:r>
          </w:p>
        </w:tc>
        <w:tc>
          <w:tcPr>
            <w:tcW w:w="44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(11,608)</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9,392</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54,306</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14,349</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17,108</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2,275</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1,931</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14,259</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5,162</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1,862</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736</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905</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8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80,773</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(63,341)</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(38,955)</w:t>
            </w:r>
          </w:p>
        </w:tc>
        <w:tc>
          <w:tcPr>
            <w:tcW w:w="44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(5,455)</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14,917</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8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206,660</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65,801</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76,579</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1,327</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19,785</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8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(347,075)</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(27,044)</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(311,448)</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(45,180</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(45,161)</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(20,525)</w:t>
            </w:r>
          </w:p>
        </w:tc>
        <w:tc>
          <w:tcPr>
            <w:tcW w:w="44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(98)</w:t>
            </w:r>
          </w:p>
        </w:tc>
        <w:tc>
          <w:tcPr>
            <w:tcW w:w="660" w:type="dxa"/>
            <w:vAlign w:val="bottom"/>
          </w:tcPr>
          <w:p>
            <w:pPr>
              <w:spacing w:after="0"/>
              <w:rPr>
                <w:sz w:val="16"/>
                <w:szCs w:val="16"/>
                <w:color w:val="auto"/>
              </w:rPr>
            </w:pP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(136)</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(393,510)</w:t>
            </w:r>
          </w:p>
        </w:tc>
        <w:tc>
          <w:tcPr>
            <w:tcW w:w="660" w:type="dxa"/>
            <w:vAlign w:val="bottom"/>
          </w:tcPr>
          <w:p>
            <w:pPr>
              <w:spacing w:after="0"/>
              <w:rPr>
                <w:sz w:val="16"/>
                <w:szCs w:val="16"/>
                <w:color w:val="auto"/>
              </w:rPr>
            </w:pP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9"/>
              </w:rPr>
              <w:t>(327,636)</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286,009</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224,289</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45,216</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1,070</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(23,226)</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8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(347,039)</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(71,135)</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(355,199)</w:t>
            </w:r>
          </w:p>
        </w:tc>
        <w:tc>
          <w:tcPr>
            <w:tcW w:w="44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(107,599)</w:t>
            </w:r>
          </w:p>
        </w:tc>
        <w:tc>
          <w:tcPr>
            <w:tcW w:w="660" w:type="dxa"/>
            <w:vAlign w:val="bottom"/>
          </w:tcPr>
          <w:p>
            <w:pPr>
              <w:spacing w:after="0"/>
              <w:rPr>
                <w:sz w:val="16"/>
                <w:szCs w:val="16"/>
                <w:color w:val="auto"/>
              </w:rPr>
            </w:pP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9"/>
              </w:rPr>
              <w:t>(103,483)</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8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370"/>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977,737</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366,143</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790,007</w:t>
            </w:r>
          </w:p>
        </w:tc>
        <w:tc>
          <w:tcPr>
            <w:tcW w:w="440" w:type="dxa"/>
            <w:vAlign w:val="bottom"/>
          </w:tcPr>
          <w:p>
            <w:pPr>
              <w:spacing w:after="0"/>
              <w:rPr>
                <w:sz w:val="24"/>
                <w:szCs w:val="24"/>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1,101,356</w:t>
            </w:r>
          </w:p>
        </w:tc>
        <w:tc>
          <w:tcPr>
            <w:tcW w:w="660" w:type="dxa"/>
            <w:vAlign w:val="bottom"/>
          </w:tcPr>
          <w:p>
            <w:pPr>
              <w:spacing w:after="0"/>
              <w:rPr>
                <w:sz w:val="24"/>
                <w:szCs w:val="24"/>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829,500</w:t>
            </w:r>
          </w:p>
        </w:tc>
      </w:tr>
      <w:tr>
        <w:trPr>
          <w:trHeight w:val="185"/>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(803,196)</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(354,640)</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(593,468)</w:t>
            </w:r>
          </w:p>
        </w:tc>
        <w:tc>
          <w:tcPr>
            <w:tcW w:w="44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(997,980)</w:t>
            </w:r>
          </w:p>
        </w:tc>
        <w:tc>
          <w:tcPr>
            <w:tcW w:w="660" w:type="dxa"/>
            <w:vAlign w:val="bottom"/>
          </w:tcPr>
          <w:p>
            <w:pPr>
              <w:spacing w:after="0"/>
              <w:rPr>
                <w:sz w:val="16"/>
                <w:szCs w:val="16"/>
                <w:color w:val="auto"/>
              </w:rPr>
            </w:pP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9"/>
              </w:rPr>
              <w:t>(773,900)</w:t>
            </w:r>
          </w:p>
        </w:tc>
      </w:tr>
      <w:tr>
        <w:trPr>
          <w:trHeight w:val="185"/>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(12,473)</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1,744</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1,299</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133,721</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500</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(500)</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(2,171)</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(907)</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(467)</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(2,420)</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(5,511)</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(7,249)</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(25,095)</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7,249</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21,655</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8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161,641</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2,726</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299,187</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110,125</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77,255</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8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370"/>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422</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787</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1,063</w:t>
            </w:r>
          </w:p>
        </w:tc>
        <w:tc>
          <w:tcPr>
            <w:tcW w:w="440" w:type="dxa"/>
            <w:vAlign w:val="bottom"/>
          </w:tcPr>
          <w:p>
            <w:pPr>
              <w:spacing w:after="0"/>
              <w:rPr>
                <w:sz w:val="24"/>
                <w:szCs w:val="24"/>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24"/>
                <w:szCs w:val="24"/>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21,684</w:t>
            </w:r>
          </w:p>
        </w:tc>
        <w:tc>
          <w:tcPr>
            <w:tcW w:w="21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(1,821)</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21,630</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3,853</w:t>
            </w:r>
          </w:p>
        </w:tc>
        <w:tc>
          <w:tcPr>
            <w:tcW w:w="660" w:type="dxa"/>
            <w:vAlign w:val="bottom"/>
          </w:tcPr>
          <w:p>
            <w:pPr>
              <w:spacing w:after="0"/>
              <w:rPr>
                <w:sz w:val="16"/>
                <w:szCs w:val="16"/>
                <w:color w:val="auto"/>
              </w:rPr>
            </w:pP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(6,443)</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20,023</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21,844</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214</w:t>
            </w:r>
          </w:p>
        </w:tc>
        <w:tc>
          <w:tcPr>
            <w:tcW w:w="440" w:type="dxa"/>
            <w:vAlign w:val="bottom"/>
          </w:tcPr>
          <w:p>
            <w:pPr>
              <w:spacing w:after="0"/>
              <w:rPr>
                <w:sz w:val="16"/>
                <w:szCs w:val="16"/>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3,982</w:t>
            </w:r>
          </w:p>
        </w:tc>
        <w:tc>
          <w:tcPr>
            <w:tcW w:w="660" w:type="dxa"/>
            <w:vAlign w:val="bottom"/>
          </w:tcPr>
          <w:p>
            <w:pPr>
              <w:spacing w:after="0"/>
              <w:rPr>
                <w:sz w:val="16"/>
                <w:szCs w:val="16"/>
                <w:color w:val="auto"/>
              </w:rPr>
            </w:pP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10,425</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8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  41,707</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  20,023</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  21,844</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7,835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3,982</w:t>
            </w:r>
          </w:p>
        </w:tc>
      </w:tr>
      <w:tr>
        <w:trPr>
          <w:trHeight w:val="185"/>
        </w:trPr>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8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ectPr>
          <w:pgSz w:w="11900" w:h="16838" w:orient="portrait"/>
          <w:cols w:equalWidth="0" w:num="1">
            <w:col w:w="9939"/>
          </w:cols>
          <w:pgMar w:left="520" w:top="300" w:right="1440" w:bottom="1440" w:gutter="0" w:footer="0" w:header="0"/>
        </w:sectPr>
      </w:pPr>
    </w:p>
    <w:bookmarkStart w:id="27" w:name="page28"/>
    <w:bookmarkEnd w:id="27"/>
    <w:p>
      <w:pPr>
        <w:ind w:left="281"/>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0" w:lineRule="exact"/>
        <w:rPr>
          <w:sz w:val="20"/>
          <w:szCs w:val="20"/>
          <w:color w:val="auto"/>
        </w:rPr>
      </w:pPr>
    </w:p>
    <w:p>
      <w:pPr>
        <w:ind w:left="201" w:right="4459" w:hanging="201"/>
        <w:spacing w:after="0" w:line="486" w:lineRule="auto"/>
        <w:tabs>
          <w:tab w:leader="none" w:pos="29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AND SUMMARY OF SIGNIFICANT ACCOUNTING POLICIES Business</w:t>
      </w:r>
    </w:p>
    <w:p>
      <w:pPr>
        <w:spacing w:after="0" w:line="5"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AGCO Corporation (the "Company") is a leading manufacturer and distributor of agricultural equipment throughout the world. The Company sells a full range of agricultural equipment and related replacement parts, including tractors, combines, hay tools and forage equipment and implements. The Company's products are widely recognized in the agricultural equipment industry and are marketed under the following brand names: Massey Ferguson, AGCO Allis, GLEANER, Hesston, White, SAME, White-New Idea, Black Machine, AGCOSTAR, Landini, Tye, Farmhand, Glencoe, Maxion, IDEAL, Western Combine, PMI, Deutz and Fendt. The Company distributes its products through a combination of over 7,500 independent dealers, wholly-owned distribution companies, associates and licensees. In addition, the Company provides retail financing in North America, the United Kingdom, France and Germany through its finance joint ventures with Cooperatieve Centrale Raiffeisen-Boerenleenbank B.A., "Rabobank Nederland" ("Rabobank").</w:t>
      </w:r>
    </w:p>
    <w:p>
      <w:pPr>
        <w:spacing w:after="0" w:line="173"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Basis of Presentation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Effective November 1, 1996, the Company sold a 51% interest in Agricredit Acceptance Company ("Agricredit"), the Company's wholly-owned retail finance subsidiary in North America (Note 2). Accordingly, the Company's consolidated financial statements as of and for the year ended December 31, 1996 reflect Agricredit on the equity method of accounting for the entire period presented. As of and for the year ended December 31, 1995 and for the period after February 11, 1994, the date the Company acquired the remaining 50% interest in Agricredit (Note 2), the consolidated financial statements reflect Agricredit on a consolidated basis with the Company's other majority-owned subsidiaries.</w:t>
      </w:r>
    </w:p>
    <w:p>
      <w:pPr>
        <w:spacing w:after="0" w:line="189"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consolidated financial statements include, on a separate, supplemental basis, the Company's Equipment Operations, and for 1995 and for the period from February 11, 1994 to December 31, 1994, its Finance Company. "Equipment Operations" reflect the consolidation of all operations of the Company and its majority-owned subsidiaries with the exception of Agricredit, which is included using the equity method of accounting. For the year ended December 31, 1995 and for the period from February 11, 1994 to December 31, 1994, the results of operations of Agricredit are included under the caption "Finance Company." All significant intercompany transactions for the year ended December 31, 1995 and for the period from February 11, 1994 to December 31, 1994, including activity within and between the Equipment Operations and Finance Company, have been eliminated to arrive at the "Consolidated" financial statements. Certain prior period amounts have been reclassified to conform with the current period presentation.</w:t>
      </w:r>
    </w:p>
    <w:p>
      <w:pPr>
        <w:spacing w:after="0" w:line="190"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Revenue Recognition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Sales of equipment and replacement parts are recorded by the Company when shipped to independent dealers, distributors or other customers. Provisions for sales incentives and returns and allowances are made at the time of sale to the dealer for existing incentive programs or at the inception of new incentive programs. Provisions are revised in the event of subsequent modification to the incentive programs. In certain markets, particularly in North America, there is a time lag, which varies based on the timing and level of retail demand, between the date the Company records a sale and when the dealer sells the equipment to a retail customer.</w:t>
      </w:r>
    </w:p>
    <w:p>
      <w:pPr>
        <w:spacing w:after="0" w:line="187"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Foreign Currency Translation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financial statements of the Company's foreign subsidiaries are translated into United States currency in accordance with Statement of Financial Accounting Standards No. 52, "Foreign Currency Translation." Assets and liabilities are translated to United States dollars at period-end exchange rates. Income and expense items are translated at average rates of exchange prevailing during the period. Translation adjustments are</w:t>
      </w:r>
    </w:p>
    <w:p>
      <w:pPr>
        <w:sectPr>
          <w:pgSz w:w="11900" w:h="16838" w:orient="portrait"/>
          <w:cols w:equalWidth="0" w:num="1">
            <w:col w:w="10221"/>
          </w:cols>
          <w:pgMar w:left="239" w:top="300"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0"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accumulated as a separate component of stockholders' equity. Gains and losses which result from foreign currency transactions are included in the accompanying consolidated statements of income. For subsidiaries operating in highly inflationary economies, financial statements are remeasured into the United States dollar with adjustments resulting from the translation of monetary assets and liabilities reflected in the accompanying consolidated statements of income.</w:t>
      </w:r>
    </w:p>
    <w:p>
      <w:pPr>
        <w:spacing w:after="0" w:line="17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Use of Estimates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The estimates made by management primarily relate to receivable and inventory allowances and certain accrued liabilities, principally relating to reserves for volume discounts and sales incentives, warranty and insurance.</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Transactions with Affiliates</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Company enters into transactions with certain affiliates relating primarily to the purchase and sale of inventory. All transactions were in the ordinary course of business and are not considered material to the financial statements.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Cash and Cash Equivalents</w:t>
      </w:r>
    </w:p>
    <w:p>
      <w:pPr>
        <w:spacing w:after="0" w:line="190"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The Company considers all investments with an original maturity of three months or less to be cash equivalents.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Accounts and Notes Receivable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Accounts and notes receivable arise from the sale of parts and finished goods inventory to independent dealers, distributors or other customers. Terms vary by market, generally ranging from 30 day terms to requiring payment when the equipment is sold to retail customers. Interest is charged on the balance outstanding after certain interest-free periods, which generally range from 1 to 12 months.</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Accounts and notes receivable are shown net of allowances for sales incentive discounts available to dealers and for doubtful accounts. Accounts and notes receivable allowances at December 31, 1996 and 1995 were as follows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1996</w:t>
            </w:r>
          </w:p>
        </w:tc>
        <w:tc>
          <w:tcPr>
            <w:tcW w:w="8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Sales incentive discounts...................................</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$45,809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$39,433</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Doubtful accounts...........................................</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30,017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23,114</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$75,826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$62,547</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Inventories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Inventories consist primarily of tractors, combines, implements, hay and forage equipment and service parts and are valued at the lower of cost or market. Cost is determined on a first-in, first-out basis. Market is net realizable value for finished goods and repair and replacement parts. For work in process, production parts and raw materials, market is replacement cost.</w:t>
      </w:r>
    </w:p>
    <w:p>
      <w:pPr>
        <w:sectPr>
          <w:pgSz w:w="11900" w:h="16838" w:orient="portrait"/>
          <w:cols w:equalWidth="0" w:num="1">
            <w:col w:w="10219"/>
          </w:cols>
          <w:pgMar w:left="240" w:top="300"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12</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Inventory balances at December 31, 1996 and 1995 were as follows (in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20"/>
                <w:szCs w:val="20"/>
                <w:color w:val="auto"/>
              </w:rPr>
            </w:pPr>
            <w:r>
              <w:rPr>
                <w:rFonts w:ascii="Courier New" w:cs="Courier New" w:eastAsia="Courier New" w:hAnsi="Courier New"/>
                <w:sz w:val="16"/>
                <w:szCs w:val="16"/>
                <w:color w:val="auto"/>
              </w:rPr>
              <w:t>thousands):</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39"/>
        </w:trPr>
        <w:tc>
          <w:tcPr>
            <w:tcW w:w="5860" w:type="dxa"/>
            <w:vAlign w:val="bottom"/>
          </w:tcPr>
          <w:p>
            <w:pPr>
              <w:spacing w:after="0"/>
              <w:rPr>
                <w:sz w:val="24"/>
                <w:szCs w:val="24"/>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1996</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$171,105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$121,034</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Repair and replacement parts................................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222,601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196,863</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Work in process, production parts and raw materials.........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134,734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84,505</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Gross inventories...........................................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528,440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402,402</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Allowance for surplus and obsolete inventories..............</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(54,596)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(41,433)</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Inventories, net............................................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$473,844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$360,969</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Property, Plant and Equipment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Property, plant and equipment are recorded at cost less accumulated depreciation and amortization. Depreciation is provided on a straight-line basis over the estimated useful lives of 10 to 40 years for buildings and improvements, 3 to 15 years for machinery and equipment, and 3 to 10 years for furniture and fixtures. Expenditures for maintenance and repairs are charged to expense as incurred.</w:t>
      </w:r>
    </w:p>
    <w:p>
      <w:pPr>
        <w:spacing w:after="0" w:line="188"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The property, plant and equipment balances at December 31, 1996 and 1995 were as follows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1996</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$ 32,537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$ 13,260</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Buildings and improvements..................................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93,203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42,877</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206,098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110,726</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Furniture and fixtures......................................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31,218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23,572</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Gross property, plant and equipment.........................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363,056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190,435</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Accumulated depreciation and amortization...................</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(70,619)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(43,914)</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$292,437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$146,521</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Intangible Assets</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Intangible assets at December 31, 1996 and 1995 consisted of the following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1996</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acquired.....................</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$162,485</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$ 52,001</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Trademarks..................................................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66,042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70,000</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5,232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4,598</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Accumulated amortization....................................</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(20,835)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(12,750)</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212,924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113,849</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Excess of net assets acquired over cost.....................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(23,235)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(23,235)</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Accumulated amortization....................................</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15,954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13,630</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(7,281)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(9,605)</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$205,643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$104,244</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excess of cost over net assets acquired ("goodwill") is being amortized to income on a straight-line basis over periods ranging from 10 to 40 years. The Company also assigned values to certain trademarks which were acquired in connection with the Massey Acquisition (Note 2). The trademarks are being amortized to income on a straight-line basis over 40 years. The excess of net assets acquired over cost is being amortized on a straight-line basis over 10 years and has been reflected along with the related accumulated amortization as a</w:t>
      </w:r>
    </w:p>
    <w:p>
      <w:pPr>
        <w:sectPr>
          <w:pgSz w:w="11900" w:h="16838" w:orient="portrait"/>
          <w:cols w:equalWidth="0" w:num="1">
            <w:col w:w="10219"/>
          </w:cols>
          <w:pgMar w:left="240" w:top="300" w:right="1440" w:bottom="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reduction to intangible assets. The net amortization expense, included in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 net in the accompanying consolidated statements of income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$5,761,000, $4,007,000 and $2,044,000 for the years ended December 31,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and 1994, respectively.</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Company periodically reviews the carrying values assigned to goodwill and other intangible assets based upon expectations of future cash flows and operating income generated by the underlying tangible assets.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Accrued Expenses</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Accrued expenses at December 31, 1996 and 1995 consisted of the following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10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1996</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Reserve for volume discounts and sales incentives...........</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$ 69,099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$ 62,557</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Warranty reserves...........................................</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47,147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39,883</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Accrued employee compensation and benefits..................</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46,985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28,940</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Accrued taxes...............................................</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51,484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23,041</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102,243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79,427</w:t>
            </w:r>
          </w:p>
        </w:tc>
      </w:tr>
      <w:tr>
        <w:trPr>
          <w:trHeight w:val="185"/>
        </w:trPr>
        <w:tc>
          <w:tcPr>
            <w:tcW w:w="586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$316,958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$233,848</w:t>
            </w:r>
          </w:p>
        </w:tc>
      </w:tr>
      <w:tr>
        <w:trPr>
          <w:trHeight w:val="185"/>
        </w:trPr>
        <w:tc>
          <w:tcPr>
            <w:tcW w:w="586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Warranty Reserves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Company's agricultural equipment products are generally under warranty against defects in material and workmanship for a period of one to four years. The Company provides for future warranty costs based upon the relationship of sales in prior periods to actual warranty costs.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Insurance Reserves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Under the Company's insurance programs, coverage is obtained for significant liability limits as well as those risks required to be insured by law or contract. It is the policy of the Company to self-insure a portion of certain expected losses related primarily to workers' compensation and comprehensive general, product and vehicle liability. Provisions for losses expected under these programs are recorded based on the Company's estimates of the aggregate liabilities for the claims incurred.</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Extraordinary Loss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March 1996, as part of the refinancing of the Company's $550,000,000 secured revolving credit facility with a five-year $650,000,000 unsecured revolving credit facility (Note 7), the Company recorded an extraordinary loss of $3,503,000, net of taxes of $2,239,000, for the write-off of unamortized debt costs related to the $550,000,000 revolving credit facility.</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 Income Per Common Share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Primary net income per common share is computed by dividing net income available for common stockholders (net income less preferred stock dividend requirements) by the weighted average number of common and common equivalent shares outstanding during each period. Common equivalent shares include shares issuable upon the assumed exercise of outstanding stock options (Note 13). Fully diluted net income per common share assumes (i) conversion of the Convertible Subordinated Debentures (Note 8) into common stock after the Exchange (Note 8) and the elimination of interest expense related to the Convertible Subordinated Debentures, net of applicable income taxes and (ii) conversion of the Preferred Stock (Note 11) into common stock and the elimination of the preferred stock dividend requirements prior to the Exchange.</w:t>
      </w:r>
    </w:p>
    <w:p>
      <w:pPr>
        <w:sectPr>
          <w:pgSz w:w="11900" w:h="16838" w:orient="portrait"/>
          <w:cols w:equalWidth="0" w:num="1">
            <w:col w:w="10219"/>
          </w:cols>
          <w:pgMar w:left="240" w:top="300"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All references in the financial statements and the accompanying notes to the financial statements to the weighted average number of common shares outstanding and net income per common share have been restated to reflect all stock splits (Note 12).</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Financial Instruments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carrying amounts reported in the Company's consolidated balance sheets for cash and cash equivalents, accounts and notes receivable, receivables from unconsolidated subsidiary and affiliates, accounts payable and payables to unconsolidated subsidiary and affiliates approximate fair value due to the immediate or short-term maturity of these financial instruments. The carrying amount of long-term debt under the Company's revolving credit facility (Note 7) approximates fair value based on the borrowing rates currently available to the Company for loans with similar terms and average maturities. At December 31, 1996, the estimated fair value of the Company's 8 1/2% Senior Subordinated Notes (Note 7), based on its listed market value, was $252,600,000 compared to the carrying value of $247,957,000.</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enters into foreign exchange forward contracts to hedge the foreign currency exposure of certain receivables, payables and expected purchases and sales. These contracts are for periods consistent with the exposure being hedged and generally have maturities of one year or less. Gains and losses on foreign exchange forward contracts are deferred and recognized in income in the same period as the hedged transaction. The Company's foreign exchange forward contracts do not subject the Company's results of operations to risk due to exchange rate fluctuations because gains and losses on these contracts generally offset gains and losses on the exposure being hedged. The Company does not enter into any foreign exchange forward contracts for speculative trading purposes. At December 31, 1996 and 1995, the Company had foreign exchange forward contracts with notional amounts of $218,127,000 and $179,072,000, respectively. The deferred gains or losses from these contracts were not material at December 31, 1996 and 1995.</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notional amounts of foreign exchange forward contracts do not represent amounts exchanged by the parties and therefore, are not a measure of the Company's risk. The amounts exchanged are calculated on the basis of the notional amounts and other terms of the foreign exchange hedging contracts. The credit and market risk under these contracts are not considered to be significant since the Company deals with counterparties that have high credit ratings.</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Accounting Changes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October 1995, the Financial Accounting Standards Board issued Statement No. 123, "Accounting for Stock-Based Compensation", which requires companies to estimate the value of all stock-based compensation using a recognized pricing model. The Company has adopted the disclosure requirements of this statement and has chosen to continue to apply the accounting provisions of Accounting Principles Board Opinion No. 25 to stock-based employee compensation arrangements as allowed by Statement No. 123 (Note 13). As a result, the adoption of this new standard did not have an effect on the Company's financial position or results of operations for the year ended December 31, 1996.</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Effective January 1996, the Company adopted Statement of Financial Accounting Standards No. 121, "Accounting for the Impairment of Long-Lived Assets and for Long-Lived Assets to Be Disposed Of," which established accounting standards for the impairment of long-lived assets, certain identifiable intangibles and goodwill related to those assets to be held and used, as well as for long-lived assets and certain identifiable intangibles to be disposed. The adoption of this standard did not have a material effect on the Company's financial position.</w:t>
      </w:r>
    </w:p>
    <w:p>
      <w:pPr>
        <w:sectPr>
          <w:pgSz w:w="11900" w:h="16838" w:orient="portrait"/>
          <w:cols w:equalWidth="0" w:num="1">
            <w:col w:w="10219"/>
          </w:cols>
          <w:pgMar w:left="240" w:top="300"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ACQUISITIONS AND DISPOSITIONS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December 27, 1996, the Company acquired the operations of Deutz Argentina S.A. ("Deutz Argentina") for approximately $62,500,000 (the "Deutz Argentina Acquisition"). The purchase price was financed primarily by borrowings under the Company's $650,000,000 revolving credit facility (the "March 1996 Credit Facility" -- Note 7). The acquired assets and assumed liabilities consisted primarily of accounts receivable, inventories, property, plant and equipment (including three manufacturing and assembly facilities), accounts payable and accrued liabilities. Deutz Argentina is a manufacturer and distributor of a broad range of agricultural equipment, engines and light trucks in Argentina and other South American markets.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Effective November 1, 1996, the Company entered into an agreement with 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Lage Landen International, B.V., a wholly-owned subsidiary of Rabobank, to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joint venture partner in Agricredit, the Company's wholly-owned retail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 subsidiary in North America (the "Agricredit Joint Venture"). As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 of the agreement, the Company sold a 51% interest in Agricredit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Rabobank. The Company received total consideration of approximately $44,300,000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transaction and recorded a gain, before taxes,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$4,745,000. Under the Agricredit Joint Venture, Rabobank has a 51% interest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Agricredit and the Company retained a 49% interest in the finance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Substantially all of the net assets of Agricredit were transferred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Agricredit Joint Venture. Proceeds from the transaction were used to repay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borrowings under the Company's March 1996 Credit Facility.</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Effective July 8, 1996, the Company acquired certain assets of Western Combine Corporation and Portage Manufacturing, Inc., the Company's suppliers of Massey Ferguson combines and certain other harvesting equipment sold in North America (the "Western Combine Acquisition"). The acquired assets consisted primarily of inventories, manufacturing equipment and technology. The purchase price of approximately $19,443,000 was financed primarily by borrowings under the Company's March 1996 Credit Facility.</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Effective June 28, 1996, the Company acquired certain assets and liabilities of the agricultural and industrial equipment business of Iochpe-Maxion S.A. (the "Maxion Agricultural Equipment Business") for approximately $260,000,000 (the "Maxion Acquisition"). The purchase price, which is subject to adjustment, was financed primarily by borrowings under the Company's March 1996 Credit Facility. The acquired assets and assumed liabilities consisted primarily of accounts receivable, inventories, property, plant and equipment (including two manufacturing facilities), accounts payable and accrued liabilities. Prior to the acquisition, the Maxion Agricultural Equipment Business was AGCO's Massey Ferguson licensee in Brazil, manufacturing and distributing agricultural and industrial equipment in Brazil and other South American markets.</w:t>
      </w:r>
    </w:p>
    <w:p>
      <w:pPr>
        <w:spacing w:after="0" w:line="18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Effective March 31, 1995, the Company acquired substantially all the 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of AgEquipment Group, a manufacturer and distributor of agricultural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implements and tillage equipment (the "AgEquipment Acquisition"). The acquired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and assumed liabilities consisted primarily of dealer accounts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receivable, inventories, machinery and equipment, trademarks and trade names,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payable and accrued liabilities. The purchase price was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$25,100,000 and was financed through borrowings under the Company's $550,000,000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revolving credit facility (the "June 1994 Credit Facility" -- Note 7).</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On June 29, 1994, the Company acquired from Varity Corporation ("Varity") the outstanding stock of Massey Ferguson Group Limited, certain assets of MF GmbH, a German operating subsidiary, the Massey Ferguson trademarks and certain other related assets for aggregate consideration consisting of $310,000,000 in cash and 500,000 shares of common stock of the Company (the "Massey Acquisition"). The acquired assets and assumed liabilities consisted primarily of accounts receivable, inventories, property, plant and equipment (including two manufacturing facilities), trademarks, stock in associated companies, accounts payable and accrued liabilities. The total purchase price was approximately $328,625,000. The cash portion of the purchase price for the Massey Acquisition and the related transaction costs were financed through the public offering of 3,737,500 shares of common stock at $37.50 per share resulting in proceeds of $132,980,000, net of underwriters' discount and offering expenses (the "1994 Offering"), and incremental borrowings of</w:t>
      </w:r>
    </w:p>
    <w:p>
      <w:pPr>
        <w:sectPr>
          <w:pgSz w:w="11900" w:h="16838" w:orient="portrait"/>
          <w:cols w:equalWidth="0" w:num="1">
            <w:col w:w="10219"/>
          </w:cols>
          <w:pgMar w:left="240" w:top="300" w:right="1440" w:bottom="1440" w:gutter="0" w:footer="0" w:header="0"/>
        </w:sectPr>
      </w:pPr>
    </w:p>
    <w:bookmarkStart w:id="33" w:name="page34"/>
    <w:bookmarkEnd w:id="33"/>
    <w:p>
      <w:pPr>
        <w:ind w:left="281"/>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$177,020,000 under the June 1994 Credit Facility. The 1994 Offering and the execution of the June 1994 Credit Facility were completed concurrently with the Massey Acquisition.</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Effective February 10, 1994, the Company acquired the remaining 50% interest in Agricredit from Varity. Prior to that date, the Company owned a 50% interest in Agricredit through a joint venture with Varity which was accounted for using the equity method of accounting since the original date of investment in 1993. The acquired assets and assumed liabilities consisted primarily of credit receivables, accounts payable, accrued liabilities and borrowings under a revolving credit agreement. The purchase price for the remaining 50% interest was $23,226,000 and was financed through borrowings under the Company's revolving credit facility in place at that time.</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above acquisitions were accounted for as purchases in accordance with Accounting Principles Board Opinion No. 16, and accordingly, each purchase price has been allocated to the assets acquired and the liabilities assumed based on the estimated fair values as of the acquisition dates. The purchase price allocations for the Maxion and the Deutz Argentina Acquisitions are preliminary and subject to adjustment. In 1995, the purchase price allocation for the Massey Acquisition was completed, with the exception of the recognition of acquired deferred income tax assets. The total purchase price allocation for the Massey Acquisition, excluding the recognition of deferred income tax assets, resulted in an increase in goodwill of $6,733,000. In addition, the Company has recognized $79,753,000 of deferred income tax assets resulting in a decrease in goodwill and values assigned to certain trademarks acquired in the Massey Acquisition. These adjustments were a result of the completion of certain asset and liability valuations related primarily to property, plant and equipment and certain allowance and reserve accounts. The purchase price allocations for the Maxion and Deutz Argentina Acquisitions will be completed in 1997. The results of operations for these acquisitions are included in the Company's consolidated financial statements as of and from the respective dates of acquisition. The Deutz Argentina Acquisition had no effect on the Company's results of operations for the year ended December 31, 1996.</w:t>
      </w:r>
    </w:p>
    <w:p>
      <w:pPr>
        <w:spacing w:after="0" w:line="195"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following unaudited pro forma data summarizes the results of operations for the year ended December 31, 1996 and 1995 as if the Maxion Acquisition and the Agricredit Joint Venture, including the related financings, had occurred at the beginning of 1995. The unaudited pro forma information has been prepared for comparative purposes only and does not purport to represent what the results of operations of the Company would actually have been had the transactions occurred on the dates indicated or what the results of operations may be in any future period.</w:t>
      </w:r>
    </w:p>
    <w:p>
      <w:pPr>
        <w:spacing w:after="0" w:line="200" w:lineRule="exact"/>
        <w:rPr>
          <w:sz w:val="20"/>
          <w:szCs w:val="20"/>
          <w:color w:val="auto"/>
        </w:rPr>
      </w:pPr>
    </w:p>
    <w:p>
      <w:pPr>
        <w:spacing w:after="0" w:line="358" w:lineRule="exact"/>
        <w:rPr>
          <w:sz w:val="20"/>
          <w:szCs w:val="20"/>
          <w:color w:val="auto"/>
        </w:rPr>
      </w:pPr>
    </w:p>
    <w:p>
      <w:pPr>
        <w:jc w:val="center"/>
        <w:ind w:left="2700"/>
        <w:spacing w:after="0"/>
        <w:rPr>
          <w:sz w:val="20"/>
          <w:szCs w:val="20"/>
          <w:color w:val="auto"/>
        </w:rPr>
      </w:pPr>
      <w:r>
        <w:rPr>
          <w:rFonts w:ascii="Courier New" w:cs="Courier New" w:eastAsia="Courier New" w:hAnsi="Courier New"/>
          <w:sz w:val="15"/>
          <w:szCs w:val="15"/>
          <w:color w:val="auto"/>
        </w:rPr>
        <w:t>YEAR ENDED DECEMBER 31,</w:t>
      </w:r>
    </w:p>
    <w:p>
      <w:pPr>
        <w:spacing w:after="0" w:line="15" w:lineRule="exact"/>
        <w:rPr>
          <w:sz w:val="20"/>
          <w:szCs w:val="20"/>
          <w:color w:val="auto"/>
        </w:rPr>
      </w:pPr>
    </w:p>
    <w:p>
      <w:pPr>
        <w:jc w:val="center"/>
        <w:ind w:left="27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left="2980"/>
        <w:spacing w:after="0"/>
        <w:tabs>
          <w:tab w:leader="none" w:pos="860"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p>
    <w:p>
      <w:pPr>
        <w:spacing w:after="0" w:line="4" w:lineRule="exact"/>
        <w:rPr>
          <w:sz w:val="20"/>
          <w:szCs w:val="20"/>
          <w:color w:val="auto"/>
        </w:rPr>
      </w:pPr>
    </w:p>
    <w:p>
      <w:pPr>
        <w:jc w:val="center"/>
        <w:ind w:left="2700"/>
        <w:spacing w:after="0"/>
        <w:tabs>
          <w:tab w:leader="none" w:pos="260" w:val="left"/>
        </w:tabs>
        <w:rPr>
          <w:sz w:val="20"/>
          <w:szCs w:val="20"/>
          <w:color w:val="auto"/>
        </w:rPr>
      </w:pPr>
      <w:r>
        <w:rPr>
          <w:rFonts w:ascii="Courier New" w:cs="Courier New" w:eastAsia="Courier New" w:hAnsi="Courier New"/>
          <w:sz w:val="16"/>
          <w:szCs w:val="16"/>
          <w:color w:val="auto"/>
        </w:rPr>
        <w:t>----------</w:t>
        <w:tab/>
        <w:t>----------</w:t>
      </w:r>
    </w:p>
    <w:p>
      <w:pPr>
        <w:spacing w:after="0" w:line="4" w:lineRule="exact"/>
        <w:rPr>
          <w:sz w:val="20"/>
          <w:szCs w:val="20"/>
          <w:color w:val="auto"/>
        </w:rPr>
      </w:pPr>
    </w:p>
    <w:p>
      <w:pPr>
        <w:jc w:val="center"/>
        <w:ind w:left="2700"/>
        <w:spacing w:after="0"/>
        <w:rPr>
          <w:sz w:val="20"/>
          <w:szCs w:val="20"/>
          <w:color w:val="auto"/>
        </w:rPr>
      </w:pPr>
      <w:r>
        <w:rPr>
          <w:rFonts w:ascii="Courier New" w:cs="Courier New" w:eastAsia="Courier New" w:hAnsi="Courier New"/>
          <w:sz w:val="16"/>
          <w:szCs w:val="16"/>
          <w:color w:val="auto"/>
        </w:rPr>
        <w:t>(IN THOUSANDS, EXCEPT</w:t>
      </w:r>
    </w:p>
    <w:p>
      <w:pPr>
        <w:spacing w:after="0" w:line="4" w:lineRule="exact"/>
        <w:rPr>
          <w:sz w:val="20"/>
          <w:szCs w:val="20"/>
          <w:color w:val="auto"/>
        </w:rPr>
      </w:pPr>
    </w:p>
    <w:p>
      <w:pPr>
        <w:jc w:val="center"/>
        <w:ind w:left="2700"/>
        <w:spacing w:after="0"/>
        <w:rPr>
          <w:sz w:val="20"/>
          <w:szCs w:val="20"/>
          <w:color w:val="auto"/>
        </w:rPr>
      </w:pPr>
      <w:r>
        <w:rPr>
          <w:rFonts w:ascii="Courier New" w:cs="Courier New" w:eastAsia="Courier New" w:hAnsi="Courier New"/>
          <w:sz w:val="16"/>
          <w:szCs w:val="16"/>
          <w:color w:val="auto"/>
        </w:rPr>
        <w:t>PER SHARE DATA)</w:t>
      </w:r>
    </w:p>
    <w:p>
      <w:pPr>
        <w:sectPr>
          <w:pgSz w:w="11900" w:h="16838" w:orient="portrait"/>
          <w:cols w:equalWidth="0" w:num="1">
            <w:col w:w="10221"/>
          </w:cols>
          <w:pgMar w:left="239" w:top="300" w:right="1440" w:bottom="1440" w:gutter="0" w:footer="0" w:header="0"/>
        </w:sectPr>
      </w:pPr>
    </w:p>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Net sales...................................................</w:t>
      </w:r>
    </w:p>
    <w:p>
      <w:pPr>
        <w:spacing w:after="0" w:line="1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Net income..................................................</w:t>
      </w:r>
    </w:p>
    <w:p>
      <w:pPr>
        <w:spacing w:after="0" w:line="1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Net income per common share -- fully diluted (1)............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$2,410,621</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86,109</w:t>
      </w:r>
    </w:p>
    <w:p>
      <w:pPr>
        <w:spacing w:after="0" w:line="5"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1.51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$2,316,019</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35,131</w:t>
      </w:r>
    </w:p>
    <w:p>
      <w:pPr>
        <w:spacing w:after="0" w:line="5"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0.64</w:t>
      </w:r>
    </w:p>
    <w:p>
      <w:pPr>
        <w:spacing w:after="0" w:line="200" w:lineRule="exact"/>
        <w:rPr>
          <w:sz w:val="20"/>
          <w:szCs w:val="20"/>
          <w:color w:val="auto"/>
        </w:rPr>
      </w:pPr>
    </w:p>
    <w:p>
      <w:pPr>
        <w:sectPr>
          <w:pgSz w:w="11900" w:h="16838" w:orient="portrait"/>
          <w:cols w:equalWidth="0" w:num="3">
            <w:col w:w="5761" w:space="200"/>
            <w:col w:w="960" w:space="280"/>
            <w:col w:w="3019"/>
          </w:cols>
          <w:pgMar w:left="239" w:top="300" w:right="1440" w:bottom="1440" w:gutter="0" w:footer="0" w:header="0"/>
          <w:type w:val="continuous"/>
        </w:sectPr>
      </w:pPr>
    </w:p>
    <w:p>
      <w:pPr>
        <w:spacing w:after="0" w:line="18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381" w:right="2719" w:hanging="381"/>
        <w:spacing w:after="0" w:line="243" w:lineRule="auto"/>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share-fully diluted for the year ended December 31, 1996 excludes an extraordinary loss, net of taxes, of $3,503,000, or $0.06 per share on a fully diluted basis.</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 CHARGES FOR NONRECURRING EXPENSES</w:t>
      </w:r>
    </w:p>
    <w:p>
      <w:pPr>
        <w:spacing w:after="0" w:line="190"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The results of operations for 1996 included a charge for nonrecurring expenses of $15,027,000, or $0.17 per common share on a fully diluted basis. This nonrecurring charge related to the further restructuring of the Company's European operations, acquired in the Massey Acquisition (Note 2) in June 1994, and the integration and restructuring of the Company's Brazilian operations, acquired in the Maxion Acquisition (Note 2) in June 1996.</w:t>
      </w:r>
    </w:p>
    <w:p>
      <w:pPr>
        <w:sectPr>
          <w:pgSz w:w="11900" w:h="16838" w:orient="portrait"/>
          <w:cols w:equalWidth="0" w:num="1">
            <w:col w:w="10221"/>
          </w:cols>
          <w:pgMar w:left="239" w:top="300"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17</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nonrecurring charge for the further restructuring of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operations included costs associated with the centralization of certain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parts warehousing, administrative, sales and marketing functions.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$10,357,000 nonrecurring charge recorded through December 31, 1996 included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$6,385,000 for employee related costs consisting primarily of severance costs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$3,972,000 for other nonrecurring costs. Of the total $10,357,000 charge,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$6,702,000 has been incurred at December 31, 1996. The remaining accrual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$3,655,000 primarily consists of employee severance costs which relate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planned reduction of 118 employees, of which 96 employees have been terminated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December 31, 1996.</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nonrecurring charge for the integration and restructuring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Brazilian operations included costs associated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rationalization of manufacturing, sales, and administrative functions.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$4,670,000 recorded through December 31, 1996 included $2,656,000 for employee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costs, including severance costs, and $2,014,000 for other nonrecurring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Included in the $2,656,000 of employee related costs was $1,315,000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payroll costs incurred through December 31, 1996 for personnel that have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terminated. Of the total $4,670,000 charge, $3,635,000 has been incurred through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1996. The employee severance costs relate to the reduction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220 employees at December 31, 1996.</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results of operations for the years ended December 31, 1995 and 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charges for nonrecurring expenses primarily related to the integration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restructuring of the Company's European operations, acquired in the Massey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The Company recorded nonrecurring expenses of $13,500,000, or $0.21</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common share on a fully diluted basis, in the fourth quarter of 1994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recorded an additional $6,000,000, or $0.07 per common share on a fully diluted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in 1995. The nonrecurring charge included costs primarily associated with</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centralization and rationalization of the Company's European operations'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sales and marketing functions and other nonrecurring costs.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$19,500,000 charge recorded through December 31, 1995 included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$10,148,000 for employee related costs which primarily were severance costs,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$3,300,000 for fees associated with the termination of the credit facility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existing at that time which was replaced by the June 1994 Credit Facility,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conjunction with the Massey Acquisition, and $6,052,000 for other nonrecurring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All of the costs associated with the $19,500,000 charge recorded through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1995 have been incurred.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results of operations for the year ended December 31, 1994 also included charges for nonrecurring expenses of $6,000,000, or $0.12 per common share on a fully diluted basis, relating to the integration of the White-New Idea Farm Equipment Division ("White-New Idea"), acquired from Allied Products Corporation in December 1993. The nonrecurring charge included $2,700,000 for employee severance and relocation expenses, $1,000,000 for costs associated with operating duplicate parts distribution facilities, $800,000 for certain data processing expenses, $700,000 for dealer signs, and $800,000 for other nonrecurring costs. All of the costs associated with the integration of White-New Idea were incurred in 1994 and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AGRICREDIT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acquired a 50% joint venture interest in Agricredit from Varity in 1993 (Note 2) and the operations for the finance company were reflected in the Company's consolidated financial statements using the equity method of accounting for the period ended December 31, 1993. The Company acquired the remaining 50% interest in Agricredit from Varity on February 10, 1994 and accordingly, the Company's consolidated financial statements reflect Agricredit on a consolidated basis with the Company's other majority-owned subsidiaries as of December 31, 1994 and 1995 and for the period from February 11, 1994 through December 31, 1994 and for the year ended December 31, 1995. Effective November 1, 1996, the Company sold a 51% joint venture interest in Agricredit. Accordingly, the Company's consolidated financial statements as of and for the year ended December 31,1996 reflect the operations of Agricredit on the equity method of accounting for the entire period presented. The following is certain information related to Agricredit for the periods that the Agricredit operations were accounted for on a consolidated basis. See</w:t>
      </w:r>
    </w:p>
    <w:p>
      <w:pPr>
        <w:sectPr>
          <w:pgSz w:w="11900" w:h="16838" w:orient="portrait"/>
          <w:cols w:equalWidth="0" w:num="1">
            <w:col w:w="10219"/>
          </w:cols>
          <w:pgMar w:left="240" w:top="300"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18</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Note 5 for information related to Agricredit for the periods in which it was accounted for under the equity method of accounting.</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Revenue Recognition</w:t>
      </w:r>
    </w:p>
    <w:p>
      <w:pPr>
        <w:spacing w:after="0" w:line="190"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Agricredit recognizes finance income on credit receivables utilizing the effective interest method. Accrual of interest and finance fees is suspended when collection is deemed doubtful. Direct costs incurred in origination of the credit receivables are amortized to income over the expected term of the credit receivables using methods that approximate the effective interest method.</w:t>
      </w:r>
    </w:p>
    <w:p>
      <w:pPr>
        <w:spacing w:after="0" w:line="17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Financial Instruments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December 31, 1995, the estimated fair value of Agricredit's credit receivables was $573,851,000 compared to the carrying value of $582,578,000. The fair value of credit receivables was based on the discounted values of their related cash flows at current market interest rates. Long-term debt associated with Agricredit approximated fair value at December 31, 1995 based on borrowing rates available to Agricredit for loans with similar terms and average maturities.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1995, Agricredit entered into interest rate swap agreements in order to reduce its exposure to portions of its revolving credit agreement which carried floating rates of interest and in order to more closely match the interest rates of the borrowings to those of the credit receivables being funded. The differential to be paid or received on the swap agreements was recognized as an adjustment to interest expense. At December 31, 1995, the total notional principal amount of the interest rate swap agreements was $25,652,000, having fixed rates ranging from 8.03% to 8.22% and terminating in 1998. The notional amount of the swap agreements do not represent amounts exchanged by the parties and therefore, are not representative of the Company's risk. The credit and market risk under the swap agreements is not considered significant and the fair values and carrying values were not material at December 31, 1995.</w:t>
      </w:r>
    </w:p>
    <w:p>
      <w:pPr>
        <w:spacing w:after="0" w:line="18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Credit Receivables</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Agricredit's credit receivables consisted of the following at December 31, 1995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Retail notes................................................</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$ 498,732</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Sales finance contracts.....................................</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199,087</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Wholesale notes.............................................</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16,588</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Gross credit receivables..................................</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714,407</w:t>
            </w:r>
          </w:p>
        </w:tc>
      </w:tr>
      <w:tr>
        <w:trPr>
          <w:trHeight w:val="185"/>
        </w:trPr>
        <w:tc>
          <w:tcPr>
            <w:tcW w:w="5860" w:type="dxa"/>
            <w:vAlign w:val="bottom"/>
          </w:tcPr>
          <w:p>
            <w:pPr>
              <w:jc w:val="right"/>
              <w:ind w:right="5300"/>
              <w:spacing w:after="0"/>
              <w:rPr>
                <w:sz w:val="20"/>
                <w:szCs w:val="20"/>
                <w:color w:val="auto"/>
              </w:rPr>
            </w:pPr>
            <w:r>
              <w:rPr>
                <w:rFonts w:ascii="Courier New" w:cs="Courier New" w:eastAsia="Courier New" w:hAnsi="Courier New"/>
                <w:sz w:val="16"/>
                <w:szCs w:val="16"/>
                <w:color w:val="auto"/>
                <w:w w:val="95"/>
              </w:rPr>
              <w:t>Less:</w:t>
            </w:r>
          </w:p>
        </w:tc>
        <w:tc>
          <w:tcPr>
            <w:tcW w:w="10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Unearned finance income...................................</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(119,015)</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Allowance for credit losses...............................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(12,814)</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credit receivables.................................</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582,578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Less: current portion.......................................</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(185,401)</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Noncurrent credit receivables, net.....................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$ 397,177</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0"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19</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At December 31, 1995, contractual maturities of gross credit receivables</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were as follows (in thousands):</w:t>
            </w:r>
          </w:p>
        </w:tc>
        <w:tc>
          <w:tcPr>
            <w:tcW w:w="1540" w:type="dxa"/>
            <w:vAlign w:val="bottom"/>
          </w:tcPr>
          <w:p>
            <w:pPr>
              <w:spacing w:after="0"/>
              <w:rPr>
                <w:sz w:val="16"/>
                <w:szCs w:val="16"/>
                <w:color w:val="auto"/>
              </w:rPr>
            </w:pPr>
          </w:p>
        </w:tc>
      </w:tr>
      <w:tr>
        <w:trPr>
          <w:trHeight w:val="739"/>
        </w:trPr>
        <w:tc>
          <w:tcPr>
            <w:tcW w:w="5860" w:type="dxa"/>
            <w:vAlign w:val="bottom"/>
          </w:tcPr>
          <w:p>
            <w:pPr>
              <w:spacing w:after="0"/>
              <w:rPr>
                <w:sz w:val="24"/>
                <w:szCs w:val="24"/>
                <w:color w:val="auto"/>
              </w:rPr>
            </w:pPr>
          </w:p>
        </w:tc>
        <w:tc>
          <w:tcPr>
            <w:tcW w:w="15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$243,873</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191,572</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139,462</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91,191</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40,713</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7,596</w:t>
            </w:r>
          </w:p>
        </w:tc>
      </w:tr>
      <w:tr>
        <w:trPr>
          <w:trHeight w:val="185"/>
        </w:trPr>
        <w:tc>
          <w:tcPr>
            <w:tcW w:w="5860" w:type="dxa"/>
            <w:vAlign w:val="bottom"/>
          </w:tcPr>
          <w:p>
            <w:pPr>
              <w:spacing w:after="0"/>
              <w:rPr>
                <w:sz w:val="16"/>
                <w:szCs w:val="16"/>
                <w:color w:val="auto"/>
              </w:rPr>
            </w:pP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$714,407</w:t>
            </w:r>
          </w:p>
        </w:tc>
      </w:tr>
      <w:tr>
        <w:trPr>
          <w:trHeight w:val="185"/>
        </w:trPr>
        <w:tc>
          <w:tcPr>
            <w:tcW w:w="5860" w:type="dxa"/>
            <w:vAlign w:val="bottom"/>
          </w:tcPr>
          <w:p>
            <w:pPr>
              <w:spacing w:after="0"/>
              <w:rPr>
                <w:sz w:val="16"/>
                <w:szCs w:val="16"/>
                <w:color w:val="auto"/>
              </w:rPr>
            </w:pPr>
          </w:p>
        </w:tc>
        <w:tc>
          <w:tcPr>
            <w:tcW w:w="15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maximum maturities for retail notes and sales finance contracts is 7 years, while the maximum maturity for wholesale notes is 1 year. Interest rates on the credit receivables vary depending on prevailing market interest rates and certain sales incentive programs offered by the Company. Although the Company has a diversified receivable portfolio, credit receivables have significant concentrations of credit risk in the agricultural business sector. At December 31, 1995, approximately 78% of the net credit receivables related to the financing of products sold by the Company's dealers and distributors to end users. Agricredit retains as collateral a security interest in the equipment financed.</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allowance for credit losses was $12,814,000 at December 31, 1995. In addition, the Company had deposits withheld from dealers and manufacturers available for potential credit losses of $8,615,000 at December 31, 1995. An analysis of the allowance for credit losses is as follows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Balance, beginning of year..................................</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$10,042</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Provision for credit losses...............................</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4,279</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Charge-offs...............................................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(3,425)</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Recoveries................................................</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1,918</w:t>
            </w:r>
          </w:p>
        </w:tc>
      </w:tr>
      <w:tr>
        <w:trPr>
          <w:trHeight w:val="185"/>
        </w:trPr>
        <w:tc>
          <w:tcPr>
            <w:tcW w:w="586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Balance, end of year........................................</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$12,814</w:t>
            </w:r>
          </w:p>
        </w:tc>
      </w:tr>
      <w:tr>
        <w:trPr>
          <w:trHeight w:val="185"/>
        </w:trPr>
        <w:tc>
          <w:tcPr>
            <w:tcW w:w="586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Long-Term Debt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Prior to the Agricredit Joint Venture on November 1, 1996, Agricredit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obtained funds from a separate $630,000,000 revolving credit facility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"Agricredit Revolving Credit Agreement") to finance its credit receivable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portfolio. In 1996, the terms of the Agricredit Revolving Credit Agreement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 and restated to increase Agricredit's available borrowings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$545,000,000 to $630,000,000. Borrowings under the Agricredit Revolving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were based on the amount and quality of outstanding credit receivables</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were generally issued with maturities matching anticipated credit receivable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liquidations, and at December 31, 1995, the terms ranged from 1 to 31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rates on the notes outstanding at December 31, 1995 ranged from 5.1% to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 with a weighted average interest rate of 6.8%. The Agricredit Revolving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Agreement contained certain financial covenants which Agricredit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were required to maintain including a minimum specified net worth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specifically for the Company, a ratio of debt to net worth, as defined.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1995, $514,376,000 was outstanding under the Agricredit Revolving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Agreement and available borrowings were $24,986,000. On November 1, 1996,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Agricredit Revolving Credit Agreement was repaid and the Agricredit Joint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Venture entered into a new credit agreement.</w:t>
      </w:r>
    </w:p>
    <w:p>
      <w:pPr>
        <w:sectPr>
          <w:pgSz w:w="11900" w:h="16838" w:orient="portrait"/>
          <w:cols w:equalWidth="0" w:num="1">
            <w:col w:w="10219"/>
          </w:cols>
          <w:pgMar w:left="240" w:top="300"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20</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INVESTMENTS IN UNCONSOLIDATED AFFILIATES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December 31, 1996 and 1995, the Company's investments in unconsolidated affiliates primarily consisted of (i) a 49% investment in Massey Ferguson Finance, consisting of retail finance subsidiaries in the United Kingdom, France and Germany, which are owned by the Company and Rabobank, (ii) its 50% investment in Hay and Forage Industries ("HFI"), a joint venture with Case Corporation ("Case"), which designs and manufactures hay and forage equipment for distribution by the Company and Case, (iii) its 50% investment in a joint venture with Renault Agriculture S.A. ("GIMA"), which manufactures driveline assemblies for Massey Ferguson and Renault tractors, and (iv) certain other minority investments in farm equipment manufacturers and licensees. In addition, as a result of the Agricredit Joint Venture, investments in unconsolidated affiliates at December 31, 1996 included the Company's 49% equity investment in Agricredit.</w:t>
      </w:r>
    </w:p>
    <w:p>
      <w:pPr>
        <w:spacing w:after="0" w:line="191"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Investments in unconsolidated affiliates, accounted for under the equity method, as of December 31, 1996 and 1995 were as follows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5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3"/>
              </w:rPr>
              <w:t>1995</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Agricredit..................................................</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$28,032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Massey Ferguson Finance.....................................</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20,390</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13,523</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HFI.........................................................</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12,029</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12,029</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GIMA........................................................</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5,346</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5,651</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14,704</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14,760</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$80,501</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$45,963</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The Company's equity in net earnings of unconsolidated affiliates for 1996, 1995, and 1994 were as follows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1995</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Agricredit..................................................</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$10,384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566</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Massey Ferguson Finance.....................................</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4,400</w:t>
            </w:r>
          </w:p>
        </w:tc>
        <w:tc>
          <w:tcPr>
            <w:tcW w:w="24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3,459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1,370</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2,940</w:t>
            </w:r>
          </w:p>
        </w:tc>
        <w:tc>
          <w:tcPr>
            <w:tcW w:w="24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1,279</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$17,724</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$4,458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$3,215</w:t>
            </w:r>
          </w:p>
        </w:tc>
      </w:tr>
      <w:tr>
        <w:trPr>
          <w:trHeight w:val="185"/>
        </w:trPr>
        <w:tc>
          <w:tcPr>
            <w:tcW w:w="586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Both HFI and GIMA sell their products to the joint venture partners at prices which result in them operating at or near breakeven on an annual basis. Equity in net earnings of unconsolidated affiliates for 1994 included the equity in net earnings of Agricredit prior to February 10, 1994, the date the remaining 50% interest was acquired by the Company (Note 2). The Company also has various minority interest investments which are accounted for under the cost method.</w:t>
      </w:r>
    </w:p>
    <w:p>
      <w:pPr>
        <w:spacing w:after="0" w:line="17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Summarized financial information of Agricredit as of and for the year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31,1996 is as follows (in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124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DECEMBER 31,</w:t>
            </w:r>
          </w:p>
        </w:tc>
      </w:tr>
      <w:tr>
        <w:trPr>
          <w:trHeight w:val="185"/>
        </w:trPr>
        <w:tc>
          <w:tcPr>
            <w:tcW w:w="5860" w:type="dxa"/>
            <w:vAlign w:val="bottom"/>
          </w:tcPr>
          <w:p>
            <w:pPr>
              <w:spacing w:after="0"/>
              <w:rPr>
                <w:sz w:val="16"/>
                <w:szCs w:val="16"/>
                <w:color w:val="auto"/>
              </w:rPr>
            </w:pPr>
          </w:p>
        </w:tc>
        <w:tc>
          <w:tcPr>
            <w:tcW w:w="124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1996</w:t>
            </w:r>
          </w:p>
        </w:tc>
      </w:tr>
      <w:tr>
        <w:trPr>
          <w:trHeight w:val="185"/>
        </w:trPr>
        <w:tc>
          <w:tcPr>
            <w:tcW w:w="5860" w:type="dxa"/>
            <w:vAlign w:val="bottom"/>
          </w:tcPr>
          <w:p>
            <w:pPr>
              <w:spacing w:after="0"/>
              <w:rPr>
                <w:sz w:val="16"/>
                <w:szCs w:val="16"/>
                <w:color w:val="auto"/>
              </w:rPr>
            </w:pPr>
          </w:p>
        </w:tc>
        <w:tc>
          <w:tcPr>
            <w:tcW w:w="124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Current assets..............................................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$ 220,699</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Noncurrent assets...........................................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453,018</w:t>
            </w:r>
          </w:p>
        </w:tc>
      </w:tr>
      <w:tr>
        <w:trPr>
          <w:trHeight w:val="185"/>
        </w:trPr>
        <w:tc>
          <w:tcPr>
            <w:tcW w:w="58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assets......................................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$ 673,717</w:t>
            </w:r>
          </w:p>
        </w:tc>
      </w:tr>
      <w:tr>
        <w:trPr>
          <w:trHeight w:val="185"/>
        </w:trPr>
        <w:tc>
          <w:tcPr>
            <w:tcW w:w="58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Current liabilities.........................................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$ 533,362</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Noncurrent liabilities......................................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83,147</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Partners' equity............................................</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57,208</w:t>
            </w:r>
          </w:p>
        </w:tc>
      </w:tr>
      <w:tr>
        <w:trPr>
          <w:trHeight w:val="185"/>
        </w:trPr>
        <w:tc>
          <w:tcPr>
            <w:tcW w:w="58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liabilities and partners' equity............</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$ 673,717</w:t>
            </w:r>
          </w:p>
        </w:tc>
      </w:tr>
      <w:tr>
        <w:trPr>
          <w:trHeight w:val="185"/>
        </w:trPr>
        <w:tc>
          <w:tcPr>
            <w:tcW w:w="58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0" w:right="1440" w:bottom="641"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jc w:val="right"/>
              <w:ind w:right="4920"/>
              <w:spacing w:after="0"/>
              <w:rPr>
                <w:sz w:val="20"/>
                <w:szCs w:val="20"/>
                <w:color w:val="auto"/>
              </w:rPr>
            </w:pPr>
            <w:r>
              <w:rPr>
                <w:rFonts w:ascii="Courier New" w:cs="Courier New" w:eastAsia="Courier New" w:hAnsi="Courier New"/>
                <w:sz w:val="16"/>
                <w:szCs w:val="16"/>
                <w:color w:val="auto"/>
              </w:rPr>
              <w:t>21</w:t>
            </w:r>
          </w:p>
        </w:tc>
        <w:tc>
          <w:tcPr>
            <w:tcW w:w="1620" w:type="dxa"/>
            <w:vAlign w:val="bottom"/>
          </w:tcPr>
          <w:p>
            <w:pPr>
              <w:spacing w:after="0"/>
              <w:rPr>
                <w:sz w:val="15"/>
                <w:szCs w:val="15"/>
                <w:color w:val="auto"/>
              </w:rPr>
            </w:pPr>
          </w:p>
        </w:tc>
      </w:tr>
      <w:tr>
        <w:trPr>
          <w:trHeight w:val="370"/>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AGCO CORPORATION AND SUBSIDIARIES</w:t>
            </w:r>
          </w:p>
        </w:tc>
        <w:tc>
          <w:tcPr>
            <w:tcW w:w="1620" w:type="dxa"/>
            <w:vAlign w:val="bottom"/>
          </w:tcPr>
          <w:p>
            <w:pPr>
              <w:spacing w:after="0"/>
              <w:rPr>
                <w:sz w:val="24"/>
                <w:szCs w:val="24"/>
                <w:color w:val="auto"/>
              </w:rPr>
            </w:pPr>
          </w:p>
        </w:tc>
      </w:tr>
      <w:tr>
        <w:trPr>
          <w:trHeight w:val="370"/>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NOTES TO CONSOLIDATED FINANCIAL STATEMENTS --</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w w:val="98"/>
              </w:rPr>
              <w:t>(CONTINUED)</w:t>
            </w:r>
          </w:p>
        </w:tc>
      </w:tr>
      <w:tr>
        <w:trPr>
          <w:trHeight w:val="739"/>
        </w:trPr>
        <w:tc>
          <w:tcPr>
            <w:tcW w:w="5480" w:type="dxa"/>
            <w:vAlign w:val="bottom"/>
          </w:tcPr>
          <w:p>
            <w:pPr>
              <w:spacing w:after="0"/>
              <w:rPr>
                <w:sz w:val="24"/>
                <w:szCs w:val="24"/>
                <w:color w:val="auto"/>
              </w:rPr>
            </w:pPr>
          </w:p>
        </w:tc>
        <w:tc>
          <w:tcPr>
            <w:tcW w:w="1620" w:type="dxa"/>
            <w:vAlign w:val="bottom"/>
          </w:tcPr>
          <w:p>
            <w:pPr>
              <w:jc w:val="center"/>
              <w:ind w:left="400"/>
              <w:spacing w:after="0"/>
              <w:rPr>
                <w:sz w:val="20"/>
                <w:szCs w:val="20"/>
                <w:color w:val="auto"/>
              </w:rPr>
            </w:pPr>
            <w:r>
              <w:rPr>
                <w:rFonts w:ascii="Courier New" w:cs="Courier New" w:eastAsia="Courier New" w:hAnsi="Courier New"/>
                <w:sz w:val="16"/>
                <w:szCs w:val="16"/>
                <w:color w:val="auto"/>
                <w:w w:val="98"/>
              </w:rPr>
              <w:t>FOR THE YEAR</w:t>
            </w:r>
          </w:p>
        </w:tc>
      </w:tr>
      <w:tr>
        <w:trPr>
          <w:trHeight w:val="185"/>
        </w:trPr>
        <w:tc>
          <w:tcPr>
            <w:tcW w:w="5480" w:type="dxa"/>
            <w:vAlign w:val="bottom"/>
          </w:tcPr>
          <w:p>
            <w:pPr>
              <w:spacing w:after="0"/>
              <w:rPr>
                <w:sz w:val="16"/>
                <w:szCs w:val="16"/>
                <w:color w:val="auto"/>
              </w:rPr>
            </w:pPr>
          </w:p>
        </w:tc>
        <w:tc>
          <w:tcPr>
            <w:tcW w:w="16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ENDED</w:t>
            </w:r>
          </w:p>
        </w:tc>
      </w:tr>
      <w:tr>
        <w:trPr>
          <w:trHeight w:val="185"/>
        </w:trPr>
        <w:tc>
          <w:tcPr>
            <w:tcW w:w="5480" w:type="dxa"/>
            <w:vAlign w:val="bottom"/>
          </w:tcPr>
          <w:p>
            <w:pPr>
              <w:spacing w:after="0"/>
              <w:rPr>
                <w:sz w:val="16"/>
                <w:szCs w:val="16"/>
                <w:color w:val="auto"/>
              </w:rPr>
            </w:pPr>
          </w:p>
        </w:tc>
        <w:tc>
          <w:tcPr>
            <w:tcW w:w="1620" w:type="dxa"/>
            <w:vAlign w:val="bottom"/>
          </w:tcPr>
          <w:p>
            <w:pPr>
              <w:jc w:val="center"/>
              <w:ind w:left="400"/>
              <w:spacing w:after="0"/>
              <w:rPr>
                <w:sz w:val="20"/>
                <w:szCs w:val="20"/>
                <w:color w:val="auto"/>
              </w:rPr>
            </w:pPr>
            <w:r>
              <w:rPr>
                <w:rFonts w:ascii="Courier New" w:cs="Courier New" w:eastAsia="Courier New" w:hAnsi="Courier New"/>
                <w:sz w:val="16"/>
                <w:szCs w:val="16"/>
                <w:color w:val="auto"/>
                <w:w w:val="98"/>
              </w:rPr>
              <w:t>DECEMBER 31,</w:t>
            </w:r>
          </w:p>
        </w:tc>
      </w:tr>
      <w:tr>
        <w:trPr>
          <w:trHeight w:val="185"/>
        </w:trPr>
        <w:tc>
          <w:tcPr>
            <w:tcW w:w="5480" w:type="dxa"/>
            <w:vAlign w:val="bottom"/>
          </w:tcPr>
          <w:p>
            <w:pPr>
              <w:spacing w:after="0"/>
              <w:rPr>
                <w:sz w:val="16"/>
                <w:szCs w:val="16"/>
                <w:color w:val="auto"/>
              </w:rPr>
            </w:pPr>
          </w:p>
        </w:tc>
        <w:tc>
          <w:tcPr>
            <w:tcW w:w="1620" w:type="dxa"/>
            <w:vAlign w:val="bottom"/>
          </w:tcPr>
          <w:p>
            <w:pPr>
              <w:jc w:val="center"/>
              <w:ind w:left="400"/>
              <w:spacing w:after="0"/>
              <w:rPr>
                <w:sz w:val="20"/>
                <w:szCs w:val="20"/>
                <w:color w:val="auto"/>
              </w:rPr>
            </w:pPr>
            <w:r>
              <w:rPr>
                <w:rFonts w:ascii="Courier New" w:cs="Courier New" w:eastAsia="Courier New" w:hAnsi="Courier New"/>
                <w:sz w:val="16"/>
                <w:szCs w:val="16"/>
                <w:color w:val="auto"/>
                <w:w w:val="98"/>
              </w:rPr>
              <w:t>1996</w:t>
            </w:r>
          </w:p>
        </w:tc>
      </w:tr>
      <w:tr>
        <w:trPr>
          <w:trHeight w:val="185"/>
        </w:trPr>
        <w:tc>
          <w:tcPr>
            <w:tcW w:w="5480" w:type="dxa"/>
            <w:vAlign w:val="bottom"/>
          </w:tcPr>
          <w:p>
            <w:pPr>
              <w:spacing w:after="0"/>
              <w:rPr>
                <w:sz w:val="16"/>
                <w:szCs w:val="16"/>
                <w:color w:val="auto"/>
              </w:rPr>
            </w:pPr>
          </w:p>
        </w:tc>
        <w:tc>
          <w:tcPr>
            <w:tcW w:w="1620" w:type="dxa"/>
            <w:vAlign w:val="bottom"/>
          </w:tcPr>
          <w:p>
            <w:pPr>
              <w:jc w:val="center"/>
              <w:ind w:left="4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w w:val="94"/>
              </w:rPr>
              <w:t>Interest and finance fees...................................</w:t>
            </w:r>
          </w:p>
        </w:tc>
        <w:tc>
          <w:tcPr>
            <w:tcW w:w="16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$69,507</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w w:val="94"/>
              </w:rPr>
              <w:t>Expenses....................................................</w:t>
            </w:r>
          </w:p>
        </w:tc>
        <w:tc>
          <w:tcPr>
            <w:tcW w:w="16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58,107</w:t>
            </w:r>
          </w:p>
        </w:tc>
      </w:tr>
      <w:tr>
        <w:trPr>
          <w:trHeight w:val="185"/>
        </w:trPr>
        <w:tc>
          <w:tcPr>
            <w:tcW w:w="5480" w:type="dxa"/>
            <w:vAlign w:val="bottom"/>
          </w:tcPr>
          <w:p>
            <w:pPr>
              <w:spacing w:after="0"/>
              <w:rPr>
                <w:sz w:val="16"/>
                <w:szCs w:val="16"/>
                <w:color w:val="auto"/>
              </w:rPr>
            </w:pPr>
          </w:p>
        </w:tc>
        <w:tc>
          <w:tcPr>
            <w:tcW w:w="16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w w:val="94"/>
              </w:rPr>
              <w:t>Net income..................................................</w:t>
            </w:r>
          </w:p>
        </w:tc>
        <w:tc>
          <w:tcPr>
            <w:tcW w:w="16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$11,400</w:t>
            </w:r>
          </w:p>
        </w:tc>
      </w:tr>
      <w:tr>
        <w:trPr>
          <w:trHeight w:val="185"/>
        </w:trPr>
        <w:tc>
          <w:tcPr>
            <w:tcW w:w="5480" w:type="dxa"/>
            <w:vAlign w:val="bottom"/>
          </w:tcPr>
          <w:p>
            <w:pPr>
              <w:spacing w:after="0"/>
              <w:rPr>
                <w:sz w:val="16"/>
                <w:szCs w:val="16"/>
                <w:color w:val="auto"/>
              </w:rPr>
            </w:pPr>
          </w:p>
        </w:tc>
        <w:tc>
          <w:tcPr>
            <w:tcW w:w="16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Company's equity in net earnings of Agricredit for the year ended December 31, 1996 of $10,384,000 represents 100% of the net earnings of Agricredit prior to the completion of the Agricredit Joint Venture on November 1, 1996 and 49% of Agricredit's net earnings thereafter.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INCOME TAXES</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Company accounts for income taxes under the provisions of Statement of Financial Accounting Standards No. 109, "Accounting for Income Taxes" ("SFAS No. 109"). SFAS No. 109 requires recognition of deferred tax assets and liabilities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w:t>
      </w:r>
    </w:p>
    <w:p>
      <w:pPr>
        <w:spacing w:after="0" w:line="17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sources of income before income taxes, equity in net earnings of unconsolidated subsidiary and affiliates and extraordinary loss were as follows for the years ended December 31, 1996, 1995 and 1994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10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1996</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38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38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$ 31,904</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$ 41,893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$ 50,404</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Foreign................................................</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139,725</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148,688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51,305</w:t>
            </w:r>
          </w:p>
        </w:tc>
      </w:tr>
      <w:tr>
        <w:trPr>
          <w:trHeight w:val="185"/>
        </w:trPr>
        <w:tc>
          <w:tcPr>
            <w:tcW w:w="538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Income before income taxes, equity in net earnings of</w:t>
            </w: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unconsolidated subsidiary and affiliates and</w:t>
            </w: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extraordinary loss...................................</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$171,629</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$190,581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$101,709</w:t>
            </w:r>
          </w:p>
        </w:tc>
      </w:tr>
      <w:tr>
        <w:trPr>
          <w:trHeight w:val="185"/>
        </w:trPr>
        <w:tc>
          <w:tcPr>
            <w:tcW w:w="538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provision (benefit) for income taxes by location of the taxing jurisdiction for the years ended December 31, 1996, 1995 and 1994 consisted of the following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3"/>
              </w:rPr>
              <w:t>1996</w:t>
            </w:r>
          </w:p>
        </w:tc>
        <w:tc>
          <w:tcPr>
            <w:tcW w:w="9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5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58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5580" w:type="dxa"/>
            <w:vAlign w:val="bottom"/>
          </w:tcPr>
          <w:p>
            <w:pPr>
              <w:jc w:val="right"/>
              <w:ind w:right="3960"/>
              <w:spacing w:after="0"/>
              <w:rPr>
                <w:sz w:val="20"/>
                <w:szCs w:val="20"/>
                <w:color w:val="auto"/>
              </w:rPr>
            </w:pPr>
            <w:r>
              <w:rPr>
                <w:rFonts w:ascii="Courier New" w:cs="Courier New" w:eastAsia="Courier New" w:hAnsi="Courier New"/>
                <w:sz w:val="16"/>
                <w:szCs w:val="16"/>
                <w:color w:val="auto"/>
              </w:rPr>
              <w:t>United States: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Federal.............................................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9,715</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$15,769</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$ 23,123</w:t>
            </w: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State...............................................</w:t>
            </w:r>
          </w:p>
        </w:tc>
        <w:tc>
          <w:tcPr>
            <w:tcW w:w="1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461</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1,521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3,300</w:t>
            </w: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Foreign................................................</w:t>
            </w:r>
          </w:p>
        </w:tc>
        <w:tc>
          <w:tcPr>
            <w:tcW w:w="1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29,690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15,692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3,925</w:t>
            </w:r>
          </w:p>
        </w:tc>
      </w:tr>
      <w:tr>
        <w:trPr>
          <w:trHeight w:val="185"/>
        </w:trPr>
        <w:tc>
          <w:tcPr>
            <w:tcW w:w="55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39,866</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32,982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30,348</w:t>
            </w:r>
          </w:p>
        </w:tc>
      </w:tr>
      <w:tr>
        <w:trPr>
          <w:trHeight w:val="185"/>
        </w:trPr>
        <w:tc>
          <w:tcPr>
            <w:tcW w:w="55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580" w:type="dxa"/>
            <w:vAlign w:val="bottom"/>
          </w:tcPr>
          <w:p>
            <w:pPr>
              <w:jc w:val="right"/>
              <w:ind w:right="3960"/>
              <w:spacing w:after="0"/>
              <w:rPr>
                <w:sz w:val="20"/>
                <w:szCs w:val="20"/>
                <w:color w:val="auto"/>
              </w:rPr>
            </w:pPr>
            <w:r>
              <w:rPr>
                <w:rFonts w:ascii="Courier New" w:cs="Courier New" w:eastAsia="Courier New" w:hAnsi="Courier New"/>
                <w:sz w:val="16"/>
                <w:szCs w:val="16"/>
                <w:color w:val="auto"/>
              </w:rPr>
              <w:t>United States: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Federal.............................................</w:t>
            </w:r>
          </w:p>
        </w:tc>
        <w:tc>
          <w:tcPr>
            <w:tcW w:w="1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(1,096)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(2,485)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(51,872)</w:t>
            </w: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State...............................................</w:t>
            </w:r>
          </w:p>
        </w:tc>
        <w:tc>
          <w:tcPr>
            <w:tcW w:w="1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63</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(4,498)</w:t>
            </w: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Foreign................................................</w:t>
            </w:r>
          </w:p>
        </w:tc>
        <w:tc>
          <w:tcPr>
            <w:tcW w:w="1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21,130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35,103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15,412</w:t>
            </w:r>
          </w:p>
        </w:tc>
      </w:tr>
      <w:tr>
        <w:trPr>
          <w:trHeight w:val="185"/>
        </w:trPr>
        <w:tc>
          <w:tcPr>
            <w:tcW w:w="55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20,097</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32,915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(40,958)</w:t>
            </w:r>
          </w:p>
        </w:tc>
      </w:tr>
      <w:tr>
        <w:trPr>
          <w:trHeight w:val="185"/>
        </w:trPr>
        <w:tc>
          <w:tcPr>
            <w:tcW w:w="55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Provision (benefit) for income taxes...................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59,963</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$65,897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$(10,610)</w:t>
            </w:r>
          </w:p>
        </w:tc>
      </w:tr>
      <w:tr>
        <w:trPr>
          <w:trHeight w:val="185"/>
        </w:trPr>
        <w:tc>
          <w:tcPr>
            <w:tcW w:w="55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0" w:right="1440" w:bottom="826"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22</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Certain foreign operations of the Company are subject to United States as well as foreign income tax regulations. Therefore, the preceding sources of income before income taxes by location and the provision (benefit) for income taxes by taxing jurisdiction are not directly related.</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A reconciliation of income taxes computed at the United States federal statutory income tax rate (35% in 1996, 1995 and 1994) to the provision (benefit) for income taxes reflected in the consolidated statements of income for the years ended December 31, 1996, 1995 and 1994 is as follows (in thousands):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9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1996</w:t>
            </w:r>
          </w:p>
        </w:tc>
        <w:tc>
          <w:tcPr>
            <w:tcW w:w="9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58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Provision for income taxes at United States federal</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statutory rate.........................................</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$60,070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$66,703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$ 35,598</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rPr>
              <w:t>State and local income taxes, net of federal income tax</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benefit................................................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341</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1,182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2,145</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rPr>
              <w:t>Taxes on foreign income which differ from the United</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States statutory rate..................................</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(1,246)</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572</w:t>
            </w: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Reduction in valuation allowance.........................</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(49,734)</w:t>
            </w:r>
          </w:p>
        </w:tc>
      </w:tr>
      <w:tr>
        <w:trPr>
          <w:trHeight w:val="185"/>
        </w:trPr>
        <w:tc>
          <w:tcPr>
            <w:tcW w:w="55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370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(508)</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809</w:t>
            </w:r>
          </w:p>
        </w:tc>
      </w:tr>
      <w:tr>
        <w:trPr>
          <w:trHeight w:val="185"/>
        </w:trPr>
        <w:tc>
          <w:tcPr>
            <w:tcW w:w="558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$59,963</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$65,897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$(10,610)</w:t>
            </w:r>
          </w:p>
        </w:tc>
      </w:tr>
      <w:tr>
        <w:trPr>
          <w:trHeight w:val="185"/>
        </w:trPr>
        <w:tc>
          <w:tcPr>
            <w:tcW w:w="558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For the years ended December 31, 1996 and 1995, the Company's provision for income taxes approximated statutory rates. For the year ended December 31, 1994, the Company's United States current income tax provision was offset by the recognition of deferred income tax benefits through a reduction of a portion of the valuation allowance. In 1994, the reduction in the valuation allowance resulted in a United States net income tax benefit of $29,947,000, or $0.61 per common share on a fully diluted basis. The reduction in the valuation allowance was supported by the generation of taxable income in recent years and expectations for taxable income in future periods.</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For the years ended December 31, 1996 and 1995, the Company's foreign income tax provision primarily related to the Company's European operations acquired in the Massey Acquisition. The deferred income tax provision resulted from the realization of deferred tax assets acquired in the Massey Acquisition primarily consisting of net operating loss carryforwards.</w:t>
      </w:r>
    </w:p>
    <w:p>
      <w:pPr>
        <w:sectPr>
          <w:pgSz w:w="11900" w:h="16838" w:orient="portrait"/>
          <w:cols w:equalWidth="0" w:num="1">
            <w:col w:w="10219"/>
          </w:cols>
          <w:pgMar w:left="240" w:top="30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23</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significant components of the net deferred tax assets at 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20"/>
                <w:szCs w:val="20"/>
                <w:color w:val="auto"/>
              </w:rPr>
            </w:pPr>
            <w:r>
              <w:rPr>
                <w:rFonts w:ascii="Courier New" w:cs="Courier New" w:eastAsia="Courier New" w:hAnsi="Courier New"/>
                <w:sz w:val="16"/>
                <w:szCs w:val="16"/>
                <w:color w:val="auto"/>
              </w:rPr>
              <w:t>1996 and 1995 were as follows (in thousands):</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39"/>
        </w:trPr>
        <w:tc>
          <w:tcPr>
            <w:tcW w:w="5860" w:type="dxa"/>
            <w:vAlign w:val="bottom"/>
          </w:tcPr>
          <w:p>
            <w:pPr>
              <w:spacing w:after="0"/>
              <w:rPr>
                <w:sz w:val="24"/>
                <w:szCs w:val="24"/>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1996</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operating loss carryforwards..........................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$ 63,199</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$ 51,260</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Sales incentive discounts.................................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18,262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15,727</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Inventory valuation reserves..............................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11,093</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11,327</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Postretirement benefits...................................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9,534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8,256</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48,600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41,488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Valuation allowance.......................................</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(63,664)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(42,109)</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deferred tax assets.........................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87,024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85,949</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Tax over book depreciation................................</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2,857</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145</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Tax over book amortization of goodwill....................</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6,592</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5,805</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5,391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5,590</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deferred tax liabilities....................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14,840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11,540</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Net deferred tax assets.....................................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72,184</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74,409</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Less: current portion.....................................</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(48,084)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(51,214)</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Noncurrent net deferred tax assets..........................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$ 24,100</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$ 23,195</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 reflected in the preceding table, the Company established a valuation allowance of $63,664,000 and $42,109,000 for the years ended December 31, 1996 and 1995, respectively, due to the uncertainty regarding the realizability of certain deferred tax assets. Included in the valuation allowance at December 31, 1996 and 1995 was $12,702,000 and $27,778,000, respectively, of deferred tax assets primarily related to net operating loss carryforwards acquired in the Massey Acquisition which will reduce goodwill and values assigned to trademarks if realized. The increase in the valuation allowance in 1996 is primarily the result of the Company's valuation allowance for net operating loss carryforwards acquired in the Deutz Argentina Acquisition.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Company had United States net operating loss carryforwards of approximately $11,400,000 at December 31, 1996 which expire in years 2004 and 2005. The Company's United States net operating loss carryforwards are subject to an annual limitation of $1,280,000 to reduce income taxes in future years. The Company has foreign net operating loss carryforwards of $159,856,000, which are principally in France, Brazil and Argentina. The foreign net operating loss carryforwards have expiration dates as follows: 1997 -- $12,848,000, 1998 -- $3,692,000, 1999 -- $13,087,000, 2000 -- $30,834,000,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 $35,122,000, thereafter and unlimited -- $64,273,000.</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The Company paid income taxes of $23,120,000, $22,558,000 and $24,861,000 for the years ended December 31, 1996, 1995, and 1994, respectively.</w:t>
      </w:r>
    </w:p>
    <w:p>
      <w:pPr>
        <w:sectPr>
          <w:pgSz w:w="11900" w:h="16838" w:orient="portrait"/>
          <w:cols w:equalWidth="0" w:num="1">
            <w:col w:w="10219"/>
          </w:cols>
          <w:pgMar w:left="240" w:top="300"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24</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LONG-TERM DEBT</w:t>
      </w:r>
    </w:p>
    <w:p>
      <w:pPr>
        <w:spacing w:after="0" w:line="190"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Long-term debt consisted of the following at December 31, 1996 and 1995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10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1996</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Revolving Credit Facility-Equipment Operations..............</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$317,439</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$378,336</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Senior Subordinated Notes...................................</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247,957</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Long-Term Debt........................................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1,659</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Long-Term Debt-Equipment Operations.................</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567,055</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378,336</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Long-Term Debt-Agricredit (Note 4)..................</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514,376</w:t>
            </w:r>
          </w:p>
        </w:tc>
      </w:tr>
      <w:tr>
        <w:trPr>
          <w:trHeight w:val="185"/>
        </w:trPr>
        <w:tc>
          <w:tcPr>
            <w:tcW w:w="586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Long-Term Debt-Consolidated.................</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567,055</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892,712</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Less: current portion.............................</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(361,376)</w:t>
            </w:r>
          </w:p>
        </w:tc>
      </w:tr>
      <w:tr>
        <w:trPr>
          <w:trHeight w:val="185"/>
        </w:trPr>
        <w:tc>
          <w:tcPr>
            <w:tcW w:w="586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$567,055</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$531,336</w:t>
            </w:r>
          </w:p>
        </w:tc>
      </w:tr>
      <w:tr>
        <w:trPr>
          <w:trHeight w:val="185"/>
        </w:trPr>
        <w:tc>
          <w:tcPr>
            <w:tcW w:w="586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March 1996, the Company replaced its $550,000,000 secured revolving credit facility (the "June 1994 Credit Facility"), obtained in conjunction with the Massey Acquisition, with a five-year $650,000,000 unsecured revolving credit facility (the "March 1996 Credit Facility"). Aggregate borrowings outstanding under the March 1996 Credit Facility are subject to a borrowing base limitation and may not at any time exceed the sum of 90% of eligible accounts receivable and 60% of eligible inventory. Interest accrues on borrowings outstanding under the March 1996 Credit Facility primarily at LIBOR plus an applicable margin, as defined. At December 31, 1996, interest rates on the outstanding borrowings ranged from 6.2% to 8.3%, with a weighted average interest rate during 1996 of 6.3%. The March 1996 Credit Facility contains certain covenants, including covenants restricting the incurrence of indebtedness and the making of certain restrictive payments, including dividends. In addition, the Company must maintain certain financial covenants including, among others, a debt to capitalization ratio, an interest coverage ratio and a ratio of debt to cash flow, as defined. At December 31, 1996, $317,439,000 was outstanding under the March 1996 Credit Facility and available borrowings were $327,740,000.</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March 1996, the Company issued $250,000,000 of 8 1/2% Senior Subordinated Notes due 2006 (the "Notes") at 99.139% of their principal amount. The Notes are unsecured obligations of the Company and are redeemable at the option of the Company, in whole or in part, at any time on or after March 15, 2001 initially at 104.25% of their principal amount, plus accrued interest, declining ratably to 100% of their principal amount plus accrued interest, on or after March 15, 2003. The Notes include certain covenants, including covenants restricting the incurrence of indebtedness and the making of certain restrictive payments, including dividends. The net proceeds from the sale of the Notes were used to repay outstanding indebtedness under the Company's June 1994 Credit Facility.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Prior to November 1, 1996, Agricredit obtained funds from the Agricredit Revolving Credit Agreement to finance its credit receivable portfolio (Note 4). In connection with the Agricredit Joint Venture, the Agricredit Revolving Credit Agreement was repaid and the Agricredit Joint Venture entered into a new credit agreement.</w:t>
      </w:r>
    </w:p>
    <w:p>
      <w:pPr>
        <w:spacing w:after="0" w:line="187"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At December 31, 1996, the aggregate scheduled maturities of long-term debt is primarily in year 2001 and thereafter. The scheduled maturities in years 1997 through 2000 are not material.</w:t>
      </w:r>
    </w:p>
    <w:p>
      <w:pPr>
        <w:spacing w:after="0" w:line="189"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Cash payments for interest were $54,066,000, $77,281,000 and $56,868,000 for the years ended December 31, 1996, 1995 and 1994, respectively.</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Company has arrangements with various banks to issue letters of credit or similar instruments which guarantee the Company's obligations for the purchase or sale of certain inventories and for potential claims exposure for insurance coverage. At December 31, 1996, outstanding letters of credit totaled $35,080,000, of</w:t>
      </w:r>
    </w:p>
    <w:p>
      <w:pPr>
        <w:sectPr>
          <w:pgSz w:w="11900" w:h="16838" w:orient="portrait"/>
          <w:cols w:equalWidth="0" w:num="1">
            <w:col w:w="10219"/>
          </w:cols>
          <w:pgMar w:left="240" w:top="300"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25</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which $4,821,000 was issued under the March 1996 Credit Facility. At December 31, 1995, outstanding letters of credit totaled $19,945,000, of which $9,525,000 was issued under the June 1994 Credit Facility.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CONVERTIBLE SUBORDINATED DEBENTURES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June 1995, the Company exchanged all of its outstanding 2,674,534 depositary shares (the "Exchange"), each representing 1/10 of a share of Convertible Preferred Stock (Note 11), into $66,848,000 of 6.5% Convertible Subordinated Debentures due 2008 (the "Convertible Subordinated Debentures"). The effect of this transaction resulted in a reduction to stockholders' equity and an increase to liabilities in the amount of $66,848,000. The Convertible Subordinated Debentures were convertible at any time at the option of the holder into shares of the Company's common stock at a conversion rate of 157.85 shares of common stock for each $1,000 principal amount of the debentures. In addition, on or after June 1, 1996, the Convertible Subordinated Debentures were redeemable at the option of the Company initially at an amount equivalent to $1,045.50 per $1,000 principal amount of the debentures and thereafter, at prices declining to an amount equivalent to the face amount of the debentures on or after June 1, 2003, plus all accrued and unpaid interest.</w:t>
      </w:r>
    </w:p>
    <w:p>
      <w:pPr>
        <w:spacing w:after="0" w:line="192"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April 1996, the Company announced its election, effective June 1, 1996, to redeem all of its outstanding Convertible Subordinated Debentures. Prior to the execution of redemption, all of the outstanding Convertible Subordinated Debentures were converted into common stock.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EMPLOYEE BENEFIT PLANS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has defined benefit pension plans covering certain hourly and salaried employees in the United States and certain foreign countries. Under the United States plans, benefits under the salaried employees' plan are generally based upon participant earnings, while the hourly employees' benefits are determined by stated monthly benefit amounts for each year of credited service. The United States salaried employees' retirement plan was amended to freeze all future benefit accruals and participation after December 31, 1988, but to continue the plan provisions with respect to service accumulations toward achieving eligibility for, and vesting in, plan benefits. The Company also sponsors certain foreign defined benefit plans. These plans are principally in the United Kingdom (the "U.K. Plans") and provide pension benefits that are based on the employees' highest average eligible compensation. The Company's policy is to fund amounts to the defined benefit plans necessary to comply with the funding requirements as prescribed by the laws and regulations in each country where the plans are located.</w:t>
      </w:r>
    </w:p>
    <w:p>
      <w:pPr>
        <w:spacing w:after="0" w:line="192"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Net periodic pension cost for the United States plans for the years ended December 31, 1996, 1995 and 1994 included the following components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3"/>
              </w:rPr>
              <w:t>1996</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66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66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571</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480</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590</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2,732</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2,633</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2,482</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rPr>
              <w:t>Actual (return) loss on plan assets.......................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8"/>
              </w:rPr>
              <w:t>(4,592)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(4,629)</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787</w:t>
            </w:r>
          </w:p>
        </w:tc>
      </w:tr>
      <w:tr>
        <w:trPr>
          <w:trHeight w:val="185"/>
        </w:trPr>
        <w:tc>
          <w:tcPr>
            <w:tcW w:w="5660" w:type="dxa"/>
            <w:vAlign w:val="bottom"/>
          </w:tcPr>
          <w:p>
            <w:pPr>
              <w:spacing w:after="0"/>
              <w:rPr>
                <w:sz w:val="20"/>
                <w:szCs w:val="20"/>
                <w:color w:val="auto"/>
              </w:rPr>
            </w:pPr>
            <w:r>
              <w:rPr>
                <w:rFonts w:ascii="Courier New" w:cs="Courier New" w:eastAsia="Courier New" w:hAnsi="Courier New"/>
                <w:sz w:val="16"/>
                <w:szCs w:val="16"/>
                <w:color w:val="auto"/>
              </w:rPr>
              <w:t>Net amortization and deferral.............................</w:t>
            </w:r>
          </w:p>
        </w:tc>
        <w:tc>
          <w:tcPr>
            <w:tcW w:w="20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2,439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2,941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(2,588)</w:t>
            </w:r>
          </w:p>
        </w:tc>
      </w:tr>
      <w:tr>
        <w:trPr>
          <w:trHeight w:val="185"/>
        </w:trPr>
        <w:tc>
          <w:tcPr>
            <w:tcW w:w="566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6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1,150</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$ 1,425</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$ 1,271</w:t>
            </w:r>
          </w:p>
        </w:tc>
      </w:tr>
      <w:tr>
        <w:trPr>
          <w:trHeight w:val="185"/>
        </w:trPr>
        <w:tc>
          <w:tcPr>
            <w:tcW w:w="566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3019" w:firstLine="480"/>
        <w:spacing w:after="0" w:line="274" w:lineRule="auto"/>
        <w:rPr>
          <w:sz w:val="20"/>
          <w:szCs w:val="20"/>
          <w:color w:val="auto"/>
        </w:rPr>
      </w:pPr>
      <w:r>
        <w:rPr>
          <w:rFonts w:ascii="Courier New" w:cs="Courier New" w:eastAsia="Courier New" w:hAnsi="Courier New"/>
          <w:sz w:val="15"/>
          <w:szCs w:val="15"/>
          <w:color w:val="auto"/>
        </w:rPr>
        <w:t>The following assumptions were used to measure the projected benefit obligation for the United States plans at December 31, 1996, 1995 and 1994:</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1995</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86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Discount rate to determine the projected benefit</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obligation................................................</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7.50%</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7.25%</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w w:val="95"/>
              </w:rPr>
              <w:t>8.75%</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Expected long-term rate of return on plan assets used to</w:t>
            </w: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determine net periodic pension cost.......................</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8.00%</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8.00%</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w w:val="95"/>
              </w:rPr>
              <w:t>8.00%</w:t>
            </w:r>
          </w:p>
        </w:tc>
      </w:tr>
    </w:tbl>
    <w:p>
      <w:pPr>
        <w:sectPr>
          <w:pgSz w:w="11900" w:h="16838" w:orient="portrait"/>
          <w:cols w:equalWidth="0" w:num="1">
            <w:col w:w="10219"/>
          </w:cols>
          <w:pgMar w:left="240" w:top="300"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26</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40" w:type="dxa"/>
            <w:vAlign w:val="bottom"/>
          </w:tcPr>
          <w:p>
            <w:pPr>
              <w:jc w:val="right"/>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(CONTINUED)</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70"/>
        </w:trPr>
        <w:tc>
          <w:tcPr>
            <w:tcW w:w="7980" w:type="dxa"/>
            <w:vAlign w:val="bottom"/>
            <w:gridSpan w:val="4"/>
          </w:tcPr>
          <w:p>
            <w:pPr>
              <w:jc w:val="right"/>
              <w:ind w:right="600"/>
              <w:spacing w:after="0"/>
              <w:rPr>
                <w:sz w:val="20"/>
                <w:szCs w:val="20"/>
                <w:color w:val="auto"/>
              </w:rPr>
            </w:pPr>
            <w:r>
              <w:rPr>
                <w:rFonts w:ascii="Courier New" w:cs="Courier New" w:eastAsia="Courier New" w:hAnsi="Courier New"/>
                <w:sz w:val="16"/>
                <w:szCs w:val="16"/>
                <w:color w:val="auto"/>
              </w:rPr>
              <w:t>The following table sets forth the United States defined benefit plans'</w:t>
            </w:r>
          </w:p>
        </w:tc>
        <w:tc>
          <w:tcPr>
            <w:tcW w:w="560" w:type="dxa"/>
            <w:vAlign w:val="bottom"/>
          </w:tcPr>
          <w:p>
            <w:pPr>
              <w:spacing w:after="0"/>
              <w:rPr>
                <w:sz w:val="24"/>
                <w:szCs w:val="24"/>
                <w:color w:val="auto"/>
              </w:rPr>
            </w:pPr>
          </w:p>
        </w:tc>
      </w:tr>
      <w:tr>
        <w:trPr>
          <w:trHeight w:val="185"/>
        </w:trPr>
        <w:tc>
          <w:tcPr>
            <w:tcW w:w="6140" w:type="dxa"/>
            <w:vAlign w:val="bottom"/>
            <w:gridSpan w:val="2"/>
          </w:tcPr>
          <w:p>
            <w:pPr>
              <w:spacing w:after="0"/>
              <w:rPr>
                <w:sz w:val="20"/>
                <w:szCs w:val="20"/>
                <w:color w:val="auto"/>
              </w:rPr>
            </w:pPr>
            <w:r>
              <w:rPr>
                <w:rFonts w:ascii="Courier New" w:cs="Courier New" w:eastAsia="Courier New" w:hAnsi="Courier New"/>
                <w:sz w:val="16"/>
                <w:szCs w:val="16"/>
                <w:color w:val="auto"/>
              </w:rPr>
              <w:t>funded status at December 31, 1996 and 1995 (in thousands):</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739"/>
        </w:trPr>
        <w:tc>
          <w:tcPr>
            <w:tcW w:w="5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7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560" w:type="dxa"/>
            <w:vAlign w:val="bottom"/>
          </w:tcPr>
          <w:p>
            <w:pPr>
              <w:spacing w:after="0"/>
              <w:rPr>
                <w:sz w:val="24"/>
                <w:szCs w:val="24"/>
                <w:color w:val="auto"/>
              </w:rPr>
            </w:pPr>
          </w:p>
        </w:tc>
      </w:tr>
      <w:tr>
        <w:trPr>
          <w:trHeight w:val="185"/>
        </w:trPr>
        <w:tc>
          <w:tcPr>
            <w:tcW w:w="5140" w:type="dxa"/>
            <w:vAlign w:val="bottom"/>
          </w:tcPr>
          <w:p>
            <w:pPr>
              <w:spacing w:after="0"/>
              <w:rPr>
                <w:sz w:val="16"/>
                <w:szCs w:val="16"/>
                <w:color w:val="auto"/>
              </w:rPr>
            </w:pPr>
          </w:p>
        </w:tc>
        <w:tc>
          <w:tcPr>
            <w:tcW w:w="178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spacing w:after="0"/>
              <w:rPr>
                <w:sz w:val="16"/>
                <w:szCs w:val="16"/>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HOURLY</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SALARY</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HOURLY</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SALARY</w:t>
            </w:r>
          </w:p>
        </w:tc>
      </w:tr>
      <w:tr>
        <w:trPr>
          <w:trHeight w:val="185"/>
        </w:trPr>
        <w:tc>
          <w:tcPr>
            <w:tcW w:w="5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Actuarial present value of benefit obligation:</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Vested benefit obligation.........................</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$30,764</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$7,725</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$28,997</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$7,598</w:t>
            </w:r>
          </w:p>
        </w:tc>
      </w:tr>
      <w:tr>
        <w:trPr>
          <w:trHeight w:val="185"/>
        </w:trPr>
        <w:tc>
          <w:tcPr>
            <w:tcW w:w="5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Accumulated benefit obligation....................</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$31,559</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$7,875</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$29,336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$7,764</w:t>
            </w:r>
          </w:p>
        </w:tc>
      </w:tr>
      <w:tr>
        <w:trPr>
          <w:trHeight w:val="185"/>
        </w:trPr>
        <w:tc>
          <w:tcPr>
            <w:tcW w:w="5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Projected benefit obligation........................</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$32,742</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$7,875</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$29,336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$7,833</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Plan assets at fair value, primarily listed stock</w:t>
            </w: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and U.S. bonds....................................</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26,632</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8,958</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21,961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7,922</w:t>
            </w:r>
          </w:p>
        </w:tc>
      </w:tr>
      <w:tr>
        <w:trPr>
          <w:trHeight w:val="185"/>
        </w:trPr>
        <w:tc>
          <w:tcPr>
            <w:tcW w:w="5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Projected benefit obligation (in excess of) less</w:t>
            </w: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than plan assets..................................</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(6,110)</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1,083</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(7,375)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Unrecognized net loss (gain)........................</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334</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(431)</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2,619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487</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Unrecognized prior service cost.....................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3,140</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1,666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Adjustment required to recognize minimum</w:t>
            </w: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liability.........................................</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(2,291)</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(4,285)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(Accrued) prepaid pension cost......................</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$(4,927)</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  652</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$(7,375)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  576</w:t>
            </w:r>
          </w:p>
        </w:tc>
      </w:tr>
      <w:tr>
        <w:trPr>
          <w:trHeight w:val="185"/>
        </w:trPr>
        <w:tc>
          <w:tcPr>
            <w:tcW w:w="514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bl>
    <w:p>
      <w:pPr>
        <w:spacing w:after="0" w:line="375"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Net periodic pension cost for the U.K. Plans for the years ended December 31, 1996, 1995 and the period from the Massey Acquisition date (June 29,1994) to December 31, 1994 included the following components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8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4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4,665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3,319</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$ 1,690</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18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19,613</w:t>
            </w:r>
          </w:p>
        </w:tc>
        <w:tc>
          <w:tcPr>
            <w:tcW w:w="18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16,944</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8,478</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Actual return on plan assets............................</w:t>
            </w:r>
          </w:p>
        </w:tc>
        <w:tc>
          <w:tcPr>
            <w:tcW w:w="18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(33,353)</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(29,752)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(5,127)</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Net amortization and deferral...........................</w:t>
            </w:r>
          </w:p>
        </w:tc>
        <w:tc>
          <w:tcPr>
            <w:tcW w:w="18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10,418</w:t>
            </w:r>
          </w:p>
        </w:tc>
        <w:tc>
          <w:tcPr>
            <w:tcW w:w="18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10,110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(4,598)</w:t>
            </w:r>
          </w:p>
        </w:tc>
      </w:tr>
      <w:tr>
        <w:trPr>
          <w:trHeight w:val="185"/>
        </w:trPr>
        <w:tc>
          <w:tcPr>
            <w:tcW w:w="54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1,343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621</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443</w:t>
            </w:r>
          </w:p>
        </w:tc>
      </w:tr>
      <w:tr>
        <w:trPr>
          <w:trHeight w:val="185"/>
        </w:trPr>
        <w:tc>
          <w:tcPr>
            <w:tcW w:w="54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3199" w:firstLine="480"/>
        <w:spacing w:after="0" w:line="242" w:lineRule="auto"/>
        <w:rPr>
          <w:sz w:val="20"/>
          <w:szCs w:val="20"/>
          <w:color w:val="auto"/>
        </w:rPr>
      </w:pPr>
      <w:r>
        <w:rPr>
          <w:rFonts w:ascii="Courier New" w:cs="Courier New" w:eastAsia="Courier New" w:hAnsi="Courier New"/>
          <w:sz w:val="16"/>
          <w:szCs w:val="16"/>
          <w:color w:val="auto"/>
        </w:rPr>
        <w:t>The following assumptions were used to measure the projected benefit obligation for the U.K. Plans: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8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1995</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86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Discount rate to determine the projected benefit</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obligation................................................</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8.50%</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8.75%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9.25%</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Rate of increase in future compensation levels used to</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determine the projected benefit obligation................</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5.00%</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5.50%</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Expected long-term rate of return on plan assets used to</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determine net periodic pension cost.......................</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9.75%</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10.50%</w:t>
            </w:r>
          </w:p>
        </w:tc>
      </w:tr>
    </w:tbl>
    <w:p>
      <w:pPr>
        <w:sectPr>
          <w:pgSz w:w="11900" w:h="16838" w:orient="portrait"/>
          <w:cols w:equalWidth="0" w:num="1">
            <w:col w:w="10219"/>
          </w:cols>
          <w:pgMar w:left="240" w:top="300" w:right="1440" w:bottom="1440" w:gutter="0" w:footer="0" w:header="0"/>
        </w:sectPr>
      </w:pPr>
    </w:p>
    <w:bookmarkStart w:id="44" w:name="page45"/>
    <w:bookmarkEnd w:id="44"/>
    <w:p>
      <w:pPr>
        <w:ind w:left="281"/>
        <w:spacing w:after="0"/>
        <w:rPr>
          <w:sz w:val="20"/>
          <w:szCs w:val="20"/>
          <w:color w:val="auto"/>
        </w:rPr>
      </w:pPr>
      <w:r>
        <w:rPr>
          <w:rFonts w:ascii="Courier New" w:cs="Courier New" w:eastAsia="Courier New" w:hAnsi="Courier New"/>
          <w:sz w:val="16"/>
          <w:szCs w:val="16"/>
          <w:color w:val="auto"/>
        </w:rPr>
        <w:t>27</w:t>
      </w:r>
    </w:p>
    <w:p>
      <w:pPr>
        <w:spacing w:after="0" w:line="188"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 following table sets forth the U.K. Plans' funded status at December</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860" w:type="dxa"/>
            <w:vAlign w:val="bottom"/>
          </w:tcPr>
          <w:p>
            <w:pPr>
              <w:spacing w:after="0"/>
              <w:rPr>
                <w:sz w:val="20"/>
                <w:szCs w:val="20"/>
                <w:color w:val="auto"/>
              </w:rPr>
            </w:pPr>
            <w:r>
              <w:rPr>
                <w:rFonts w:ascii="Courier New" w:cs="Courier New" w:eastAsia="Courier New" w:hAnsi="Courier New"/>
                <w:sz w:val="16"/>
                <w:szCs w:val="16"/>
                <w:color w:val="auto"/>
              </w:rPr>
              <w:t>31, 1996 and 1995 (in thousands):</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39"/>
        </w:trPr>
        <w:tc>
          <w:tcPr>
            <w:tcW w:w="5860" w:type="dxa"/>
            <w:vAlign w:val="bottom"/>
          </w:tcPr>
          <w:p>
            <w:pPr>
              <w:spacing w:after="0"/>
              <w:rPr>
                <w:sz w:val="24"/>
                <w:szCs w:val="24"/>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1996</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Actuarial present value of benefit obligation:</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Vested benefit obligation.................................</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$245,057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$203,292</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Accumulated benefit obligation............................</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$249,387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$206,890</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Projected benefit obligation................................</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$258,847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$214,753</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Plan assets at fair value, primarily listed stock and</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bonds.....................................................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268,279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217,426</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Projected benefit obligation less than plan assets..........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9,432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2,673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Unrecognized net loss.......................................</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2,386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3,647</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Prepaid pension cost...................................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$ 11,818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6,320</w:t>
            </w:r>
          </w:p>
        </w:tc>
      </w:tr>
      <w:tr>
        <w:trPr>
          <w:trHeight w:val="185"/>
        </w:trPr>
        <w:tc>
          <w:tcPr>
            <w:tcW w:w="58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In addition to the U.K. Plans, the Company accrues pension costs relating to various pension plans in other foreign countries all of which are substantially funded.</w:t>
      </w:r>
    </w:p>
    <w:p>
      <w:pPr>
        <w:spacing w:after="0" w:line="189"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The Company maintains a separate defined contribution 401(k) savings plan covering certain salaried employees. Under the plan, the Company contributes a specified percentage of each eligible employee's compensation. The Company contributed $1,570,000 ,$1,301,000 and $1,272,000 for the years ended December 31, 1996, 1995 and 1994, respectively.</w:t>
      </w:r>
    </w:p>
    <w:p>
      <w:pPr>
        <w:spacing w:after="0" w:line="185"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POSTRETIREMENT AND POSTEMPLOYMENT BENEFITS</w:t>
      </w:r>
    </w:p>
    <w:p>
      <w:pPr>
        <w:spacing w:after="0" w:line="190" w:lineRule="exact"/>
        <w:rPr>
          <w:sz w:val="20"/>
          <w:szCs w:val="20"/>
          <w:color w:val="auto"/>
        </w:rPr>
      </w:pPr>
    </w:p>
    <w:p>
      <w:pPr>
        <w:ind w:left="1" w:right="2639" w:firstLine="480"/>
        <w:spacing w:after="0" w:line="267" w:lineRule="auto"/>
        <w:rPr>
          <w:sz w:val="20"/>
          <w:szCs w:val="20"/>
          <w:color w:val="auto"/>
        </w:rPr>
      </w:pPr>
      <w:r>
        <w:rPr>
          <w:rFonts w:ascii="Courier New" w:cs="Courier New" w:eastAsia="Courier New" w:hAnsi="Courier New"/>
          <w:sz w:val="15"/>
          <w:szCs w:val="15"/>
          <w:color w:val="auto"/>
        </w:rPr>
        <w:t>The Company provides certain postretirement health care and life insurance benefits for United States salaried and hourly employees and their eligible dependents who retire after attaining specified age and service requirements.</w:t>
      </w:r>
    </w:p>
    <w:p>
      <w:pPr>
        <w:spacing w:after="0" w:line="172" w:lineRule="exact"/>
        <w:rPr>
          <w:sz w:val="20"/>
          <w:szCs w:val="20"/>
          <w:color w:val="auto"/>
        </w:rPr>
      </w:pPr>
    </w:p>
    <w:p>
      <w:pPr>
        <w:ind w:left="1" w:right="2719" w:firstLine="480"/>
        <w:spacing w:after="0" w:line="242" w:lineRule="auto"/>
        <w:rPr>
          <w:sz w:val="20"/>
          <w:szCs w:val="20"/>
          <w:color w:val="auto"/>
        </w:rPr>
      </w:pPr>
      <w:r>
        <w:rPr>
          <w:rFonts w:ascii="Courier New" w:cs="Courier New" w:eastAsia="Courier New" w:hAnsi="Courier New"/>
          <w:sz w:val="16"/>
          <w:szCs w:val="16"/>
          <w:color w:val="auto"/>
        </w:rPr>
        <w:t>Net periodic postretirement benefit cost for the years ended December 31, 1996, 1995 and 1994 included the following components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3"/>
              </w:rPr>
              <w:t>1996</w:t>
            </w:r>
          </w:p>
        </w:tc>
        <w:tc>
          <w:tcPr>
            <w:tcW w:w="200" w:type="dxa"/>
            <w:vAlign w:val="bottom"/>
          </w:tcPr>
          <w:p>
            <w:pPr>
              <w:spacing w:after="0"/>
              <w:rPr>
                <w:sz w:val="15"/>
                <w:szCs w:val="15"/>
                <w:color w:val="auto"/>
              </w:rPr>
            </w:pP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3"/>
              </w:rPr>
              <w:t>1995</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8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909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890</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$1,008</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Interest cost on accumulated postretirement benefit</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obligation................................................</w:t>
            </w:r>
          </w:p>
        </w:tc>
        <w:tc>
          <w:tcPr>
            <w:tcW w:w="2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5"/>
              </w:rPr>
              <w:t>1,263</w:t>
            </w:r>
          </w:p>
        </w:tc>
        <w:tc>
          <w:tcPr>
            <w:tcW w:w="2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5"/>
              </w:rPr>
              <w:t>1,287</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1,178</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Net amortization of transition obligation and prior service</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cost......................................................</w:t>
            </w:r>
          </w:p>
        </w:tc>
        <w:tc>
          <w:tcPr>
            <w:tcW w:w="20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(688)</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(688)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(688)</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Net amortization of unrecognized net gain...................</w:t>
            </w:r>
          </w:p>
        </w:tc>
        <w:tc>
          <w:tcPr>
            <w:tcW w:w="20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(403)</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(495)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(482)</w:t>
            </w:r>
          </w:p>
        </w:tc>
      </w:tr>
      <w:tr>
        <w:trPr>
          <w:trHeight w:val="185"/>
        </w:trPr>
        <w:tc>
          <w:tcPr>
            <w:tcW w:w="58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5"/>
              </w:rPr>
              <w:t>1,081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994</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$1,016</w:t>
            </w:r>
          </w:p>
        </w:tc>
      </w:tr>
      <w:tr>
        <w:trPr>
          <w:trHeight w:val="185"/>
        </w:trPr>
        <w:tc>
          <w:tcPr>
            <w:tcW w:w="58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1"/>
          </w:cols>
          <w:pgMar w:left="239" w:top="300" w:right="1440"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40" w:type="dxa"/>
            <w:vAlign w:val="bottom"/>
          </w:tcPr>
          <w:p>
            <w:pPr>
              <w:jc w:val="right"/>
              <w:ind w:right="4580"/>
              <w:spacing w:after="0"/>
              <w:rPr>
                <w:sz w:val="20"/>
                <w:szCs w:val="20"/>
                <w:color w:val="auto"/>
              </w:rPr>
            </w:pPr>
            <w:r>
              <w:rPr>
                <w:rFonts w:ascii="Courier New" w:cs="Courier New" w:eastAsia="Courier New" w:hAnsi="Courier New"/>
                <w:sz w:val="16"/>
                <w:szCs w:val="16"/>
                <w:color w:val="auto"/>
              </w:rPr>
              <w:t>28</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70"/>
        </w:trPr>
        <w:tc>
          <w:tcPr>
            <w:tcW w:w="6140" w:type="dxa"/>
            <w:vAlign w:val="bottom"/>
            <w:gridSpan w:val="3"/>
          </w:tcPr>
          <w:p>
            <w:pPr>
              <w:jc w:val="right"/>
              <w:ind w:right="680"/>
              <w:spacing w:after="0"/>
              <w:rPr>
                <w:sz w:val="20"/>
                <w:szCs w:val="20"/>
                <w:color w:val="auto"/>
              </w:rPr>
            </w:pPr>
            <w:r>
              <w:rPr>
                <w:rFonts w:ascii="Courier New" w:cs="Courier New" w:eastAsia="Courier New" w:hAnsi="Courier New"/>
                <w:sz w:val="16"/>
                <w:szCs w:val="16"/>
                <w:color w:val="auto"/>
              </w:rPr>
              <w:t>AGCO CORPORATION AND SUBSIDIARIES</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0"/>
        </w:trPr>
        <w:tc>
          <w:tcPr>
            <w:tcW w:w="5140" w:type="dxa"/>
            <w:vAlign w:val="bottom"/>
          </w:tcPr>
          <w:p>
            <w:pPr>
              <w:jc w:val="right"/>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40" w:type="dxa"/>
            <w:vAlign w:val="bottom"/>
          </w:tcPr>
          <w:p>
            <w:pPr>
              <w:ind w:left="40"/>
              <w:spacing w:after="0"/>
              <w:rPr>
                <w:sz w:val="20"/>
                <w:szCs w:val="20"/>
                <w:color w:val="auto"/>
              </w:rPr>
            </w:pPr>
            <w:r>
              <w:rPr>
                <w:rFonts w:ascii="Courier New" w:cs="Courier New" w:eastAsia="Courier New" w:hAnsi="Courier New"/>
                <w:sz w:val="9"/>
                <w:szCs w:val="9"/>
                <w:color w:val="auto"/>
                <w:w w:val="73"/>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(CONTINUED)</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0"/>
        </w:trPr>
        <w:tc>
          <w:tcPr>
            <w:tcW w:w="7980" w:type="dxa"/>
            <w:vAlign w:val="bottom"/>
            <w:gridSpan w:val="5"/>
          </w:tcPr>
          <w:p>
            <w:pPr>
              <w:jc w:val="right"/>
              <w:ind w:right="600"/>
              <w:spacing w:after="0"/>
              <w:rPr>
                <w:sz w:val="20"/>
                <w:szCs w:val="20"/>
                <w:color w:val="auto"/>
              </w:rPr>
            </w:pPr>
            <w:r>
              <w:rPr>
                <w:rFonts w:ascii="Courier New" w:cs="Courier New" w:eastAsia="Courier New" w:hAnsi="Courier New"/>
                <w:sz w:val="16"/>
                <w:szCs w:val="16"/>
                <w:color w:val="auto"/>
              </w:rPr>
              <w:t>The following table sets forth the postretirement benefit plans' funded</w:t>
            </w:r>
          </w:p>
        </w:tc>
        <w:tc>
          <w:tcPr>
            <w:tcW w:w="660" w:type="dxa"/>
            <w:vAlign w:val="bottom"/>
          </w:tcPr>
          <w:p>
            <w:pPr>
              <w:spacing w:after="0"/>
              <w:rPr>
                <w:sz w:val="24"/>
                <w:szCs w:val="24"/>
                <w:color w:val="auto"/>
              </w:rPr>
            </w:pP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status at December 31, 1996 and 1995 (in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739"/>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7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660" w:type="dxa"/>
            <w:vAlign w:val="bottom"/>
          </w:tcPr>
          <w:p>
            <w:pPr>
              <w:spacing w:after="0"/>
              <w:rPr>
                <w:sz w:val="24"/>
                <w:szCs w:val="24"/>
                <w:color w:val="auto"/>
              </w:rPr>
            </w:pPr>
          </w:p>
        </w:tc>
      </w:tr>
      <w:tr>
        <w:trPr>
          <w:trHeight w:val="185"/>
        </w:trPr>
        <w:tc>
          <w:tcPr>
            <w:tcW w:w="514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75"/>
              </w:rPr>
              <w:t>----------------</w:t>
            </w:r>
          </w:p>
        </w:tc>
        <w:tc>
          <w:tcPr>
            <w:tcW w:w="780" w:type="dxa"/>
            <w:vAlign w:val="bottom"/>
          </w:tcPr>
          <w:p>
            <w:pPr>
              <w:spacing w:after="0"/>
              <w:rPr>
                <w:sz w:val="16"/>
                <w:szCs w:val="16"/>
                <w:color w:val="auto"/>
              </w:rPr>
            </w:pPr>
          </w:p>
        </w:tc>
        <w:tc>
          <w:tcPr>
            <w:tcW w:w="1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HOURLY</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SALARY</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HOURLY</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SALARY</w:t>
            </w:r>
          </w:p>
        </w:tc>
      </w:tr>
      <w:tr>
        <w:trPr>
          <w:trHeight w:val="185"/>
        </w:trPr>
        <w:tc>
          <w:tcPr>
            <w:tcW w:w="5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Accumulated postretirement benefit obligation:</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Retiree...........................................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3,600</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$1,328</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$ 3,191</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  985</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Fully eligible active plan participants...........</w:t>
            </w:r>
          </w:p>
        </w:tc>
        <w:tc>
          <w:tcPr>
            <w:tcW w:w="1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2,224</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1,262</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1,521</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1,213</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Other active participants.........................</w:t>
            </w:r>
          </w:p>
        </w:tc>
        <w:tc>
          <w:tcPr>
            <w:tcW w:w="1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8,434</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1,786</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9,552</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2,058</w:t>
            </w:r>
          </w:p>
        </w:tc>
      </w:tr>
      <w:tr>
        <w:trPr>
          <w:trHeight w:val="185"/>
        </w:trPr>
        <w:tc>
          <w:tcPr>
            <w:tcW w:w="5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w:t>
            </w:r>
          </w:p>
        </w:tc>
      </w:tr>
      <w:tr>
        <w:trPr>
          <w:trHeight w:val="185"/>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14,258</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4,376</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14,264</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4,256</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Plan assets at fair value...........................</w:t>
            </w:r>
          </w:p>
        </w:tc>
        <w:tc>
          <w:tcPr>
            <w:tcW w:w="1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Accumulated postretirement benefit obligation in</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excess of plan assets.............................</w:t>
            </w:r>
          </w:p>
        </w:tc>
        <w:tc>
          <w:tcPr>
            <w:tcW w:w="1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14,258</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4,376</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14,264</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4,256</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Unrecognized prior service cost.....................</w:t>
            </w:r>
          </w:p>
        </w:tc>
        <w:tc>
          <w:tcPr>
            <w:tcW w:w="1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1,487</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2,723</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Unrecognized transition obligation..................</w:t>
            </w:r>
          </w:p>
        </w:tc>
        <w:tc>
          <w:tcPr>
            <w:tcW w:w="1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(429)</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(456)</w:t>
            </w:r>
          </w:p>
        </w:tc>
      </w:tr>
      <w:tr>
        <w:trPr>
          <w:trHeight w:val="185"/>
        </w:trPr>
        <w:tc>
          <w:tcPr>
            <w:tcW w:w="51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Unrecognized net gain...............................</w:t>
            </w:r>
          </w:p>
        </w:tc>
        <w:tc>
          <w:tcPr>
            <w:tcW w:w="140" w:type="dxa"/>
            <w:vAlign w:val="bottom"/>
          </w:tcPr>
          <w:p>
            <w:pPr>
              <w:spacing w:after="0"/>
              <w:rPr>
                <w:sz w:val="16"/>
                <w:szCs w:val="16"/>
                <w:color w:val="auto"/>
              </w:rPr>
            </w:pP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4,015</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738</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2,541</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233</w:t>
            </w:r>
          </w:p>
        </w:tc>
      </w:tr>
      <w:tr>
        <w:trPr>
          <w:trHeight w:val="185"/>
        </w:trPr>
        <w:tc>
          <w:tcPr>
            <w:tcW w:w="5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w:t>
            </w:r>
          </w:p>
        </w:tc>
      </w:tr>
      <w:tr>
        <w:trPr>
          <w:trHeight w:val="185"/>
        </w:trPr>
        <w:tc>
          <w:tcPr>
            <w:tcW w:w="514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7"/>
              </w:rPr>
              <w:t>19,760</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$4,685</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$19,528</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$4,033</w:t>
            </w:r>
          </w:p>
        </w:tc>
      </w:tr>
      <w:tr>
        <w:trPr>
          <w:trHeight w:val="185"/>
        </w:trPr>
        <w:tc>
          <w:tcPr>
            <w:tcW w:w="5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w:t>
            </w:r>
          </w:p>
        </w:tc>
      </w:tr>
    </w:tbl>
    <w:p>
      <w:pPr>
        <w:spacing w:after="0" w:line="375"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For measuring the expected postretirement benefit obligation, a 10.5% health care cost trend rate was assumed for 1996, decreasing 0.75% per year to 6% and remaining at that level thereafter. The weighted average discount rate used to determine the accumulated postretirement benefit obligation was 7.5% at December 31, 1996.</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Increasing the assumed health care cost trend rates by one percentage point each year and holding all other assumptions constant would increase the accumulated postretirement benefit obligation at December 31, 1996 by $1,736,000 and increase the aggregate of the service and interest cost components of the net periodic postretirement benefit cost by $229,000.</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Effective January 1, 1994, the Company adopted Statement of Financial Accounting Standards No. 112, "Employers' Accounting for Postemployment Benefits," which requires accrual of postemployment benefits for former or inactive employees after employment but before retirement. Adoption of this new standard did not have a material effect on the Company's financial position or operating results.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PREFERRED STOCK</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December 31, 1996, the Company had 1,000,000 authorized shares of preferred stock with a par value of $0.01 per share. In May 1993, the Company completed an offering of 3,680,000 depositary shares, each representing 1/10 of a share of $16.25 Cumulative Convertible Exchangeable Preferred Stock (the "Convertible Preferred Stock") at $25.00 per depositary share (the "Convertible Preferred Stock Offering"). The net proceeds to the Company from the Convertible Preferred Stock Offering, after deducting the underwriters' discount and offering expenses, were $87,967,000. Dividends on the Convertible Preferred Stock were cumulative from the date of original issue and were payable quarterly at $1.625 per annum per depositary share. Shares of the Convertible Preferred Stock were convertible at any time at the option of the holder into shares of the Company's common stock at a conversion price of $6.33. In June 1995, the Company exchanged all of its outstanding 2,674,534 depositary shares of Convertible Preferred Stock into $66,848,000 of Convertible Subordinated Debentures (Note 8).</w:t>
      </w:r>
    </w:p>
    <w:p>
      <w:pPr>
        <w:spacing w:after="0" w:line="192"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In April 1994, the Company designated 300,000 shares as Junior Cumulative Preferred Stock (the "Junior Preferred Stock") in connection with the adoption of a Stockholders' Rights Plan (the "Rights Plan" -- Note 12). No shares of Junior Preferred Stock have been issued.</w:t>
      </w:r>
    </w:p>
    <w:p>
      <w:pPr>
        <w:sectPr>
          <w:pgSz w:w="11900" w:h="16838" w:orient="portrait"/>
          <w:cols w:equalWidth="0" w:num="1">
            <w:col w:w="10219"/>
          </w:cols>
          <w:pgMar w:left="240" w:top="300"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29</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COMMON STOCK</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At December 31, 1996, the Company had 150,000,000 authorized shares of common stock with a par value of $0.01, with 57,260,151 shares of common stock outstanding, 1,228,728 shares reserved for issuance under the Company's 1991 Stock Option Plan (Note 13), 81,000 shares reserved for issuance under the Company's Nonemployee Director Stock Incentive Plan (Note 13) and 1,657,500 shares reserved for issuance under the Company's Long-Term Incentive Plan (Note 13).</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April 1994, the Company adopted the Rights Plan. Under the terms of the Rights Plan, one-third of a preferred stock purchase right (a "Right") is attached to each outstanding share of the Company's common stock. The Rights Plan contains provisions that are designed to protect stockholders in the event of certain unsolicited attempts to acquire the Company. Under the terms of the Rights Plan, each Right entitles the holder to purchase one one-hundredth of a share of Junior Preferred Stock, par value of $0.01 per share, at an exercise price of $200 per share. The Rights are exercisable a specified number of days following (i) the acquisition by a person or group of persons of 20% or more of the Company's common stock or (ii) the commencement of a tender or exchange offer for 20% or more of the Company's common stock. In the event the Company is the surviving company in a merger with a person or group of persons that owns 20% or more of the Company's outstanding stock each Right will entitle the holder (other than such 20% stockholder) to receive, upon exercise, common stock of the Company having a value equal to two times the Right's exercise price. In addition, in the event the Company sells or transfers 50% or more of its assets or earning power, each Right will entitle the holder to receive, upon exercise, common stock of the acquiring company having a value equal to two times the Right's exercise price. The Rights may be redeemed by the Company at $0.01 per Right prior to their expiration on April 27, 2004.</w:t>
      </w:r>
    </w:p>
    <w:p>
      <w:pPr>
        <w:spacing w:after="0" w:line="195"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On January 31, 1996, the Company effected a two-for-one stock split of the Company's outstanding common stock in the form of a stock dividend payable to stockholders of record on January 15, 1996. On December 15, 1994, the Company effected a three-for-two split of the Company's outstanding common stock in the form of a 50% stock dividend payable to stockholders of record on December 1, 1994. All references to common share and per share information and the weighted average number of common and common equivalent shares outstanding, with the exception of stock offering information, have been restated to reflect both stock splits.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STOCK PLANS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April 1995, the Company adopted a nonemployee director stock incentive plan (the "Director Plan"), and reserved 100,000 common shares for issuance under the Director Plan. At December 31, 1996, 19,000 shares have been awarded to plan participants. The awarded shares are earned in specified increments for each 15% increase in the average market value of the Company's common stock over the initial base price established under the plan. When an increment of the awarded shares is earned, the shares are issued to the participant in the form of restricted stock which vests at the earlier of 12 months after the specified performance period or upon departure from the board of directors. When the restricted shares are earned, a cash bonus equal to 40% of the value of the shares on the date the restricted stock award is earned is paid by the Company to satisfy a portion of the estimated income tax liability to be incurred by the participant. At December 31, 1996, 19,000 shares awarded under the Director Plan had been earned and 1,000 shares have vested.</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April 1994 and subsequently amended in April 1996, the Company adopted a long-term incentive plan for executive officers (the "LTIP") and reserved 3,750,000 common shares for issuance under the LTIP. The awarded shares are earned in specified increments for each 20% increase in the average market value of the Company's common stock over the initial base price established under the plan. When an increment of the awarded shares is earned, the shares are issued to the participant in the form of restricted stock which generally carries a five year vesting period with one-third of each award vesting on the last day of the 36th,</w:t>
      </w:r>
    </w:p>
    <w:p>
      <w:pPr>
        <w:sectPr>
          <w:pgSz w:w="11900" w:h="16838" w:orient="portrait"/>
          <w:cols w:equalWidth="0" w:num="1">
            <w:col w:w="10219"/>
          </w:cols>
          <w:pgMar w:left="240" w:top="300"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30</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48th and 60th month, respectively, after each award is earned. When the restricted shares are vested, a cash bonus equal to 40% of the value of the vested shares on the date the restricted stock award is earned is paid by the Company to satisfy a portion of the estimated income tax liability to be incurred by the participant.</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the time the awarded shares are earned, the market value of the stock is added to common stock and additional paid-in capital and an equal amount is deducted from stockholders' equity as unearned compensation. The LTIP unearned compensation and the amount of cash bonus to be paid when the awarded shares become vested are amortized to expense ratably over the vesting period. The Company recognized compensation expense associated with the LTIP of $25,757,000, $9,763,000 and $1,508,000 for the years ended December 31, 1996, 1995 and 1994, respectively, consisting of amortization of the stock award and the related cash bonus.</w:t>
      </w:r>
    </w:p>
    <w:p>
      <w:pPr>
        <w:spacing w:after="0" w:line="189"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Additional information regarding the LTIP for the years ended December 31, 1996, 1995 and 1994 is as follows: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80" w:type="dxa"/>
            <w:vAlign w:val="bottom"/>
          </w:tcPr>
          <w:p>
            <w:pPr>
              <w:spacing w:after="0"/>
              <w:rPr>
                <w:sz w:val="15"/>
                <w:szCs w:val="15"/>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1996</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1995</w:t>
            </w:r>
          </w:p>
        </w:tc>
        <w:tc>
          <w:tcPr>
            <w:tcW w:w="10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5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Shares awarded but not earned at January 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891,000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1,620,000</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Shares awarded, net of forfeitures ...................</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2,070,000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Shares earned.........................................</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(472,500)</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(891,000)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(729,000)</w:t>
            </w:r>
          </w:p>
        </w:tc>
      </w:tr>
      <w:tr>
        <w:trPr>
          <w:trHeight w:val="185"/>
        </w:trPr>
        <w:tc>
          <w:tcPr>
            <w:tcW w:w="5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Shares awarded but not earned at December 31..........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1,597,500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891,000</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Shares available for grant............................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60,000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180,000</w:t>
            </w:r>
          </w:p>
        </w:tc>
      </w:tr>
      <w:tr>
        <w:trPr>
          <w:trHeight w:val="185"/>
        </w:trPr>
        <w:tc>
          <w:tcPr>
            <w:tcW w:w="5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Total shares reserved.................................</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1,657,500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180,000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1,071,000</w:t>
            </w:r>
          </w:p>
        </w:tc>
      </w:tr>
      <w:tr>
        <w:trPr>
          <w:trHeight w:val="185"/>
        </w:trPr>
        <w:tc>
          <w:tcPr>
            <w:tcW w:w="5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Shares vested.........................................</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792,500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September 1991 and subsequently amended in May 1993, the Company adopted a stock option plan (the "Option Plan") for officers, employees, directors and others and reserved 2,400,000 shares of common stock for distribution under the Option Plan. Options granted under the Option Plan may be either nonqualified or incentive stock options as determined by the board of directors. The stock option exercise price is determined by the board of directors except in the case of an incentive stock option for which the purchase price shall not be less than 100% of the fair market value at the date of grant. Each recipient of stock options is entitled to immediately exercise up to 20% of the options issued to such person, and an additional 20% of such options vest ratably over a four-year period and expire not later than ten years from the date of grant.</w:t>
      </w:r>
    </w:p>
    <w:p>
      <w:pPr>
        <w:spacing w:after="0" w:line="177"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Stock option transactions during the three years ended December 31, 1996 were as follows: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20" w:type="dxa"/>
            <w:vAlign w:val="bottom"/>
          </w:tcPr>
          <w:p>
            <w:pPr>
              <w:spacing w:after="0"/>
              <w:rPr>
                <w:sz w:val="15"/>
                <w:szCs w:val="15"/>
                <w:color w:val="auto"/>
              </w:rPr>
            </w:pPr>
          </w:p>
        </w:tc>
        <w:tc>
          <w:tcPr>
            <w:tcW w:w="13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1996</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1995</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4520" w:type="dxa"/>
            <w:vAlign w:val="bottom"/>
          </w:tcPr>
          <w:p>
            <w:pPr>
              <w:spacing w:after="0"/>
              <w:rPr>
                <w:sz w:val="16"/>
                <w:szCs w:val="16"/>
                <w:color w:val="auto"/>
              </w:rPr>
            </w:pP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Options outstanding at January 1..............</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899,190</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1,198,400</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1,043,722</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Options granted...............................</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229,720</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20,000</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508,650</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Options exercised.............................</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(312,292)</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(292,312)</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(345,872)</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Options canceled..............................</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(29,368)</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(26,898)</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(8,100)</w:t>
            </w:r>
          </w:p>
        </w:tc>
      </w:tr>
      <w:tr>
        <w:trPr>
          <w:trHeight w:val="185"/>
        </w:trPr>
        <w:tc>
          <w:tcPr>
            <w:tcW w:w="4520" w:type="dxa"/>
            <w:vAlign w:val="bottom"/>
          </w:tcPr>
          <w:p>
            <w:pPr>
              <w:spacing w:after="0"/>
              <w:rPr>
                <w:sz w:val="16"/>
                <w:szCs w:val="16"/>
                <w:color w:val="auto"/>
              </w:rPr>
            </w:pP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Options outstanding at December 31............</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787,250</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899,190</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1,198,400</w:t>
            </w:r>
          </w:p>
        </w:tc>
      </w:tr>
      <w:tr>
        <w:trPr>
          <w:trHeight w:val="185"/>
        </w:trPr>
        <w:tc>
          <w:tcPr>
            <w:tcW w:w="4520" w:type="dxa"/>
            <w:vAlign w:val="bottom"/>
          </w:tcPr>
          <w:p>
            <w:pPr>
              <w:spacing w:after="0"/>
              <w:rPr>
                <w:sz w:val="16"/>
                <w:szCs w:val="16"/>
                <w:color w:val="auto"/>
              </w:rPr>
            </w:pP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Options available for grant at December 31....</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441,478</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641,830</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634,938</w:t>
            </w:r>
          </w:p>
        </w:tc>
      </w:tr>
      <w:tr>
        <w:trPr>
          <w:trHeight w:val="185"/>
        </w:trPr>
        <w:tc>
          <w:tcPr>
            <w:tcW w:w="4520" w:type="dxa"/>
            <w:vAlign w:val="bottom"/>
          </w:tcPr>
          <w:p>
            <w:pPr>
              <w:spacing w:after="0"/>
              <w:rPr>
                <w:sz w:val="16"/>
                <w:szCs w:val="16"/>
                <w:color w:val="auto"/>
              </w:rPr>
            </w:pP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Option price ranges per share:</w:t>
            </w: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Granted.....................................</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$25.50</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$14.69-18.25</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$11.75-16.96</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Exercised...................................</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1.52-25.50</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1.52-18.25</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1.52-14.63</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Canceled....................................</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14.63-25.50</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1.52-14.63</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2.50-3.75</w:t>
            </w: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Weighted average option prices per share:</w:t>
            </w: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Granted.....................................</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$25.50</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$16.47</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$14.41</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Exercised...................................</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5.58</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4.43</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2.14</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Canceled....................................</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18.94</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10.00</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3.19</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Outstanding at December 31..................</w:t>
            </w:r>
          </w:p>
        </w:tc>
        <w:tc>
          <w:tcPr>
            <w:tcW w:w="13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14.14</w:t>
            </w:r>
          </w:p>
        </w:tc>
        <w:tc>
          <w:tcPr>
            <w:tcW w:w="14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8.43</w:t>
            </w:r>
          </w:p>
        </w:tc>
        <w:tc>
          <w:tcPr>
            <w:tcW w:w="1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7.35</w:t>
            </w:r>
          </w:p>
        </w:tc>
      </w:tr>
    </w:tbl>
    <w:p>
      <w:pPr>
        <w:spacing w:after="0" w:line="375"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At December 31, 1996, the outstanding options had a weighted average remaining contractual life of approximately 7.9 years and there were 426,292 options currently exercisable with option prices ranging from $1.52 to $25.50 and with a weighted average exercise price of $9.67.</w:t>
      </w:r>
    </w:p>
    <w:p>
      <w:pPr>
        <w:sectPr>
          <w:pgSz w:w="11900" w:h="16838" w:orient="portrait"/>
          <w:cols w:equalWidth="0" w:num="1">
            <w:col w:w="10219"/>
          </w:cols>
          <w:pgMar w:left="240" w:top="300" w:right="1440" w:bottom="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31</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The Company accounts for the Director Plan, the LTIP, and the Option Plan under the provisions of APB No. 25. The following pro forma information is based on estimating the fair value of grants under the above plans based upon the provisions of SFAS No. 123. For the Option Plan, the fair value of each option granted in 1995 and 1996 has been estimated as of the date of grant using the Black-Scholes option pricing model with the following weighted average assumptions: risk free interest rate of 5.7%, expected life for the option plan of 7 years, expected dividend yield of 2.0%, and expected volatility of 35.0%. For the Director Plan and LTIP, the fair value of each award in 1995 and 1996 has been estimated using the Black-Scholes option pricing model with the same assumptions above for the risk free interest rate, expected dividend yield, and expected volatility. Under these assumptions for the Option Plan, the weighted average fair value of options granted in 1996 and 1995 was $12.22 and $8.52, respectively. Under these assumptions for the Director Plan and the LTIP, the weighted average fair value of awards granted in 1995 under the Director Plan, including the related cash bonus, was $22.22, and the weighted average fair value of awards granted in 1996 under the LTIP, including the related cash bonus, was $31.36. There were no awards under the Director Plan in 1996 or under the LTIP in 1995. The fair value of the grants and awards would be amortized over the vesting period for stock options and earned awards under the Director Plan and LTIP and over the performance period for unearned awards under the Director Plan and LTIP. Accordingly, the Company's pro forma net income and net income per common share assuming compensation cost was determined under SFAS No.</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 would have been the following (in thousands):</w:t>
      </w:r>
    </w:p>
    <w:p>
      <w:pPr>
        <w:spacing w:after="0" w:line="200" w:lineRule="exact"/>
        <w:rPr>
          <w:sz w:val="20"/>
          <w:szCs w:val="20"/>
          <w:color w:val="auto"/>
        </w:rPr>
      </w:pPr>
    </w:p>
    <w:p>
      <w:pPr>
        <w:spacing w:after="0" w:line="358" w:lineRule="exact"/>
        <w:rPr>
          <w:sz w:val="20"/>
          <w:szCs w:val="20"/>
          <w:color w:val="auto"/>
        </w:rPr>
      </w:pPr>
    </w:p>
    <w:p>
      <w:pPr>
        <w:ind w:left="5960"/>
        <w:spacing w:after="0"/>
        <w:rPr>
          <w:sz w:val="20"/>
          <w:szCs w:val="20"/>
          <w:color w:val="auto"/>
        </w:rPr>
      </w:pPr>
      <w:r>
        <w:rPr>
          <w:rFonts w:ascii="Courier New" w:cs="Courier New" w:eastAsia="Courier New" w:hAnsi="Courier New"/>
          <w:sz w:val="16"/>
          <w:szCs w:val="16"/>
          <w:color w:val="auto"/>
        </w:rPr>
        <w:t>YEAR ENDED DECEMBER 31,</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6240"/>
        <w:spacing w:after="0"/>
        <w:tabs>
          <w:tab w:leader="none" w:pos="7560"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ind w:left="5960"/>
        <w:spacing w:after="0"/>
        <w:tabs>
          <w:tab w:leader="none" w:pos="7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3" w:lineRule="exact"/>
        <w:rPr>
          <w:sz w:val="20"/>
          <w:szCs w:val="20"/>
          <w:color w:val="auto"/>
        </w:rPr>
      </w:pPr>
    </w:p>
    <w:p>
      <w:pPr>
        <w:ind w:left="6060"/>
        <w:spacing w:after="0"/>
        <w:rPr>
          <w:sz w:val="20"/>
          <w:szCs w:val="20"/>
          <w:color w:val="auto"/>
        </w:rPr>
      </w:pPr>
      <w:r>
        <w:rPr>
          <w:rFonts w:ascii="Courier New" w:cs="Courier New" w:eastAsia="Courier New" w:hAnsi="Courier New"/>
          <w:sz w:val="16"/>
          <w:szCs w:val="16"/>
          <w:color w:val="auto"/>
        </w:rPr>
        <w:t>(IN THOUSANDS, EXCEPT</w:t>
      </w:r>
    </w:p>
    <w:p>
      <w:pPr>
        <w:spacing w:after="0" w:line="4" w:lineRule="exact"/>
        <w:rPr>
          <w:sz w:val="20"/>
          <w:szCs w:val="20"/>
          <w:color w:val="auto"/>
        </w:rPr>
      </w:pPr>
    </w:p>
    <w:p>
      <w:pPr>
        <w:ind w:left="6340"/>
        <w:spacing w:after="0"/>
        <w:rPr>
          <w:sz w:val="20"/>
          <w:szCs w:val="20"/>
          <w:color w:val="auto"/>
        </w:rPr>
      </w:pPr>
      <w:r>
        <w:rPr>
          <w:rFonts w:ascii="Courier New" w:cs="Courier New" w:eastAsia="Courier New" w:hAnsi="Courier New"/>
          <w:sz w:val="16"/>
          <w:szCs w:val="16"/>
          <w:color w:val="auto"/>
        </w:rPr>
        <w:t>PER SHARE DATA)</w:t>
      </w:r>
    </w:p>
    <w:p>
      <w:pPr>
        <w:sectPr>
          <w:pgSz w:w="11900" w:h="16838" w:orient="portrait"/>
          <w:cols w:equalWidth="0" w:num="1">
            <w:col w:w="10219"/>
          </w:cols>
          <w:pgMar w:left="240" w:top="300"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common share -- fully diluted................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$123,928</w:t>
      </w:r>
    </w:p>
    <w:p>
      <w:pPr>
        <w:spacing w:after="0" w:line="5"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2.17</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$129,130</w:t>
      </w:r>
    </w:p>
    <w:p>
      <w:pPr>
        <w:spacing w:after="0" w:line="15"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2.30</w:t>
      </w:r>
    </w:p>
    <w:p>
      <w:pPr>
        <w:spacing w:after="0" w:line="200" w:lineRule="exact"/>
        <w:rPr>
          <w:sz w:val="20"/>
          <w:szCs w:val="20"/>
          <w:color w:val="auto"/>
        </w:rPr>
      </w:pPr>
    </w:p>
    <w:p>
      <w:pPr>
        <w:sectPr>
          <w:pgSz w:w="11900" w:h="16838" w:orient="portrait"/>
          <w:cols w:equalWidth="0" w:num="3">
            <w:col w:w="5760" w:space="380"/>
            <w:col w:w="780" w:space="580"/>
            <w:col w:w="2719"/>
          </w:cols>
          <w:pgMar w:left="240" w:top="300" w:right="1440" w:bottom="1440" w:gutter="0" w:footer="0" w:header="0"/>
          <w:type w:val="continuous"/>
        </w:sectPr>
      </w:pPr>
    </w:p>
    <w:p>
      <w:pPr>
        <w:spacing w:after="0" w:line="184"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Because the SFAS No. 123 method of accounting has not been applied to grants and awards prior to January 1, 1995, the resulting pro forma compensation cost may not be representative of that expected in future years.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COMMITMENTS AND CONTINGENCIES</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Company leases land, buildings, machinery, equipment and furniture under various noncancelable operating lease agreements. At December 31, 1996, future minimum lease payments under noncancelable operating leases were as follows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$12,262</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9,023</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7,041</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4,784</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3,498</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15,655</w:t>
            </w:r>
          </w:p>
        </w:tc>
      </w:tr>
      <w:tr>
        <w:trPr>
          <w:trHeight w:val="185"/>
        </w:trPr>
        <w:tc>
          <w:tcPr>
            <w:tcW w:w="58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$52,263</w:t>
            </w:r>
          </w:p>
        </w:tc>
      </w:tr>
      <w:tr>
        <w:trPr>
          <w:trHeight w:val="185"/>
        </w:trPr>
        <w:tc>
          <w:tcPr>
            <w:tcW w:w="58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Total lease expense under noncancelable operating leases was $16,181,000, $15,069,000, and $7,250,000 for the years ended December 31, 1996, 1995 and 1994, respectively.</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Company is party to various claims and lawsuits arising in the normal course of business. It is the opinion of management, after consultation with legal counsel, that those claims and lawsuits, when resolved, will not have a material adverse effect on the financial position or results of operations of the Company.</w:t>
      </w:r>
    </w:p>
    <w:p>
      <w:pPr>
        <w:sectPr>
          <w:pgSz w:w="11900" w:h="16838" w:orient="portrait"/>
          <w:cols w:equalWidth="0" w:num="1">
            <w:col w:w="10219"/>
          </w:cols>
          <w:pgMar w:left="240" w:top="300" w:right="1440" w:bottom="1440" w:gutter="0" w:footer="0" w:header="0"/>
          <w:type w:val="continuous"/>
        </w:sectPr>
      </w:pPr>
    </w:p>
    <w:bookmarkStart w:id="49" w:name="page50"/>
    <w:bookmarkEnd w:id="49"/>
    <w:p>
      <w:pPr>
        <w:ind w:left="281"/>
        <w:spacing w:after="0"/>
        <w:rPr>
          <w:sz w:val="20"/>
          <w:szCs w:val="20"/>
          <w:color w:val="auto"/>
        </w:rPr>
      </w:pPr>
      <w:r>
        <w:rPr>
          <w:rFonts w:ascii="Courier New" w:cs="Courier New" w:eastAsia="Courier New" w:hAnsi="Courier New"/>
          <w:sz w:val="16"/>
          <w:szCs w:val="16"/>
          <w:color w:val="auto"/>
        </w:rPr>
        <w:t>32</w:t>
      </w:r>
    </w:p>
    <w:p>
      <w:pPr>
        <w:spacing w:after="0" w:line="188"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15. SEGMENT REPORTING</w:t>
      </w:r>
    </w:p>
    <w:p>
      <w:pPr>
        <w:spacing w:after="0" w:line="190" w:lineRule="exact"/>
        <w:rPr>
          <w:sz w:val="20"/>
          <w:szCs w:val="20"/>
          <w:color w:val="auto"/>
        </w:rPr>
      </w:pPr>
    </w:p>
    <w:p>
      <w:pPr>
        <w:ind w:left="1" w:right="2819" w:firstLine="480"/>
        <w:spacing w:after="0" w:line="242" w:lineRule="auto"/>
        <w:rPr>
          <w:sz w:val="20"/>
          <w:szCs w:val="20"/>
          <w:color w:val="auto"/>
        </w:rPr>
      </w:pPr>
      <w:r>
        <w:rPr>
          <w:rFonts w:ascii="Courier New" w:cs="Courier New" w:eastAsia="Courier New" w:hAnsi="Courier New"/>
          <w:sz w:val="16"/>
          <w:szCs w:val="16"/>
          <w:color w:val="auto"/>
        </w:rPr>
        <w:t>The Company's operations consist of the following geographic segments as set forth below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1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YEAR ENDED DECEMBER 31, 1996</w:t>
            </w:r>
          </w:p>
        </w:tc>
      </w:tr>
      <w:tr>
        <w:trPr>
          <w:trHeight w:val="185"/>
        </w:trPr>
        <w:tc>
          <w:tcPr>
            <w:tcW w:w="3940" w:type="dxa"/>
            <w:vAlign w:val="bottom"/>
          </w:tcPr>
          <w:p>
            <w:pPr>
              <w:spacing w:after="0"/>
              <w:rPr>
                <w:sz w:val="16"/>
                <w:szCs w:val="16"/>
                <w:color w:val="auto"/>
              </w:rPr>
            </w:pPr>
          </w:p>
        </w:tc>
        <w:tc>
          <w:tcPr>
            <w:tcW w:w="53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rPr>
              <w:t>WESTERN</w:t>
            </w:r>
          </w:p>
        </w:tc>
        <w:tc>
          <w:tcPr>
            <w:tcW w:w="1580" w:type="dxa"/>
            <w:vAlign w:val="bottom"/>
          </w:tcPr>
          <w:p>
            <w:pPr>
              <w:spacing w:after="0"/>
              <w:rPr>
                <w:sz w:val="16"/>
                <w:szCs w:val="16"/>
                <w:color w:val="auto"/>
              </w:rPr>
            </w:pPr>
          </w:p>
        </w:tc>
      </w:tr>
      <w:tr>
        <w:trPr>
          <w:trHeight w:val="185"/>
        </w:trPr>
        <w:tc>
          <w:tcPr>
            <w:tcW w:w="39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UNITED</w:t>
            </w:r>
          </w:p>
        </w:tc>
        <w:tc>
          <w:tcPr>
            <w:tcW w:w="110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EUROPE AND</w:t>
            </w:r>
          </w:p>
        </w:tc>
        <w:tc>
          <w:tcPr>
            <w:tcW w:w="1580" w:type="dxa"/>
            <w:vAlign w:val="bottom"/>
          </w:tcPr>
          <w:p>
            <w:pPr>
              <w:spacing w:after="0"/>
              <w:rPr>
                <w:sz w:val="16"/>
                <w:szCs w:val="16"/>
                <w:color w:val="auto"/>
              </w:rPr>
            </w:pPr>
          </w:p>
        </w:tc>
      </w:tr>
      <w:tr>
        <w:trPr>
          <w:trHeight w:val="185"/>
        </w:trPr>
        <w:tc>
          <w:tcPr>
            <w:tcW w:w="39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9"/>
              </w:rPr>
              <w:t>STATES AND</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SOUTH</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w w:val="99"/>
              </w:rPr>
              <w:t>OTHER</w:t>
            </w:r>
          </w:p>
        </w:tc>
        <w:tc>
          <w:tcPr>
            <w:tcW w:w="1580" w:type="dxa"/>
            <w:vAlign w:val="bottom"/>
          </w:tcPr>
          <w:p>
            <w:pPr>
              <w:spacing w:after="0"/>
              <w:rPr>
                <w:sz w:val="16"/>
                <w:szCs w:val="16"/>
                <w:color w:val="auto"/>
              </w:rPr>
            </w:pPr>
          </w:p>
        </w:tc>
      </w:tr>
      <w:tr>
        <w:trPr>
          <w:trHeight w:val="185"/>
        </w:trPr>
        <w:tc>
          <w:tcPr>
            <w:tcW w:w="39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CANADA</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AMERICA</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w w:val="99"/>
              </w:rPr>
              <w:t>INTERNATIONAL</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CONSOLIDATED(1)</w:t>
            </w:r>
          </w:p>
        </w:tc>
      </w:tr>
      <w:tr>
        <w:trPr>
          <w:trHeight w:val="185"/>
        </w:trPr>
        <w:tc>
          <w:tcPr>
            <w:tcW w:w="39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940" w:type="dxa"/>
            <w:vAlign w:val="bottom"/>
          </w:tcPr>
          <w:p>
            <w:pPr>
              <w:jc w:val="right"/>
              <w:ind w:right="3000"/>
              <w:spacing w:after="0"/>
              <w:rPr>
                <w:sz w:val="20"/>
                <w:szCs w:val="20"/>
                <w:color w:val="auto"/>
              </w:rPr>
            </w:pPr>
            <w:r>
              <w:rPr>
                <w:rFonts w:ascii="Courier New" w:cs="Courier New" w:eastAsia="Courier New" w:hAnsi="Courier New"/>
                <w:sz w:val="16"/>
                <w:szCs w:val="16"/>
                <w:color w:val="auto"/>
                <w:w w:val="97"/>
              </w:rPr>
              <w:t>Revenues:</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5"/>
        </w:trPr>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sales to unaffiliated customers...</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$850,015</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$ 85,151</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$1,382,320</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$2,317,486</w:t>
            </w:r>
          </w:p>
        </w:tc>
      </w:tr>
      <w:tr>
        <w:trPr>
          <w:trHeight w:val="185"/>
        </w:trPr>
        <w:tc>
          <w:tcPr>
            <w:tcW w:w="394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Net sales between geographic</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5"/>
        </w:trPr>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segments...........................</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38,548</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2,898</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149,331</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39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revenues................</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$888,563</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$ 88,049</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$1,531,651</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$2,317,486</w:t>
            </w:r>
          </w:p>
        </w:tc>
      </w:tr>
      <w:tr>
        <w:trPr>
          <w:trHeight w:val="185"/>
        </w:trPr>
        <w:tc>
          <w:tcPr>
            <w:tcW w:w="39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from operations(2)...............</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$ 46,777</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(6,784)</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166,256</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206,191</w:t>
            </w:r>
          </w:p>
        </w:tc>
      </w:tr>
      <w:tr>
        <w:trPr>
          <w:trHeight w:val="185"/>
        </w:trPr>
        <w:tc>
          <w:tcPr>
            <w:tcW w:w="39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39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Identifiable assets.....................</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$867,934</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$404,291</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$1,258,015</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$2,116,531</w:t>
            </w:r>
          </w:p>
        </w:tc>
      </w:tr>
      <w:tr>
        <w:trPr>
          <w:trHeight w:val="185"/>
        </w:trPr>
        <w:tc>
          <w:tcPr>
            <w:tcW w:w="39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40" w:type="dxa"/>
            <w:vAlign w:val="bottom"/>
            <w:gridSpan w:val="5"/>
          </w:tcPr>
          <w:p>
            <w:pPr>
              <w:jc w:val="right"/>
              <w:ind w:right="700"/>
              <w:spacing w:after="0"/>
              <w:rPr>
                <w:sz w:val="20"/>
                <w:szCs w:val="20"/>
                <w:color w:val="auto"/>
              </w:rPr>
            </w:pPr>
            <w:r>
              <w:rPr>
                <w:rFonts w:ascii="Courier New" w:cs="Courier New" w:eastAsia="Courier New" w:hAnsi="Courier New"/>
                <w:sz w:val="16"/>
                <w:szCs w:val="16"/>
                <w:color w:val="auto"/>
              </w:rPr>
              <w:t>YEAR ENDED DECEMBER 31, 1995</w:t>
            </w:r>
          </w:p>
        </w:tc>
      </w:tr>
      <w:tr>
        <w:trPr>
          <w:trHeight w:val="185"/>
        </w:trPr>
        <w:tc>
          <w:tcPr>
            <w:tcW w:w="4520" w:type="dxa"/>
            <w:vAlign w:val="bottom"/>
          </w:tcPr>
          <w:p>
            <w:pPr>
              <w:spacing w:after="0"/>
              <w:rPr>
                <w:sz w:val="16"/>
                <w:szCs w:val="16"/>
                <w:color w:val="auto"/>
              </w:rPr>
            </w:pPr>
          </w:p>
        </w:tc>
        <w:tc>
          <w:tcPr>
            <w:tcW w:w="4320" w:type="dxa"/>
            <w:vAlign w:val="bottom"/>
            <w:gridSpan w:val="6"/>
          </w:tcPr>
          <w:p>
            <w:pPr>
              <w:ind w:left="1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center"/>
              <w:ind w:right="280"/>
              <w:spacing w:after="0"/>
              <w:rPr>
                <w:sz w:val="20"/>
                <w:szCs w:val="20"/>
                <w:color w:val="auto"/>
              </w:rPr>
            </w:pPr>
            <w:r>
              <w:rPr>
                <w:rFonts w:ascii="Courier New" w:cs="Courier New" w:eastAsia="Courier New" w:hAnsi="Courier New"/>
                <w:sz w:val="16"/>
                <w:szCs w:val="16"/>
                <w:color w:val="auto"/>
              </w:rPr>
              <w:t>WESTERN</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right="260"/>
              <w:spacing w:after="0"/>
              <w:rPr>
                <w:sz w:val="20"/>
                <w:szCs w:val="20"/>
                <w:color w:val="auto"/>
              </w:rPr>
            </w:pPr>
            <w:r>
              <w:rPr>
                <w:rFonts w:ascii="Courier New" w:cs="Courier New" w:eastAsia="Courier New" w:hAnsi="Courier New"/>
                <w:sz w:val="16"/>
                <w:szCs w:val="16"/>
                <w:color w:val="auto"/>
              </w:rPr>
              <w:t>UNITED</w:t>
            </w:r>
          </w:p>
        </w:tc>
        <w:tc>
          <w:tcPr>
            <w:tcW w:w="15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EUROPE AND</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52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STATES AND</w:t>
            </w:r>
          </w:p>
        </w:tc>
        <w:tc>
          <w:tcPr>
            <w:tcW w:w="340" w:type="dxa"/>
            <w:vAlign w:val="bottom"/>
          </w:tcPr>
          <w:p>
            <w:pPr>
              <w:spacing w:after="0"/>
              <w:rPr>
                <w:sz w:val="16"/>
                <w:szCs w:val="16"/>
                <w:color w:val="auto"/>
              </w:rPr>
            </w:pPr>
          </w:p>
        </w:tc>
        <w:tc>
          <w:tcPr>
            <w:tcW w:w="1200" w:type="dxa"/>
            <w:vAlign w:val="bottom"/>
          </w:tcPr>
          <w:p>
            <w:pPr>
              <w:jc w:val="center"/>
              <w:ind w:right="280"/>
              <w:spacing w:after="0"/>
              <w:rPr>
                <w:sz w:val="20"/>
                <w:szCs w:val="20"/>
                <w:color w:val="auto"/>
              </w:rPr>
            </w:pPr>
            <w:r>
              <w:rPr>
                <w:rFonts w:ascii="Courier New" w:cs="Courier New" w:eastAsia="Courier New" w:hAnsi="Courier New"/>
                <w:sz w:val="16"/>
                <w:szCs w:val="16"/>
                <w:color w:val="auto"/>
                <w:w w:val="99"/>
              </w:rPr>
              <w:t>OTHER</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right="260"/>
              <w:spacing w:after="0"/>
              <w:rPr>
                <w:sz w:val="20"/>
                <w:szCs w:val="20"/>
                <w:color w:val="auto"/>
              </w:rPr>
            </w:pPr>
            <w:r>
              <w:rPr>
                <w:rFonts w:ascii="Courier New" w:cs="Courier New" w:eastAsia="Courier New" w:hAnsi="Courier New"/>
                <w:sz w:val="16"/>
                <w:szCs w:val="16"/>
                <w:color w:val="auto"/>
              </w:rPr>
              <w:t>CANADA</w:t>
            </w:r>
          </w:p>
        </w:tc>
        <w:tc>
          <w:tcPr>
            <w:tcW w:w="1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INTERNATIONAL</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CONSOLIDATED(1)</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520" w:type="dxa"/>
            <w:vAlign w:val="bottom"/>
          </w:tcPr>
          <w:p>
            <w:pPr>
              <w:jc w:val="right"/>
              <w:ind w:right="3580"/>
              <w:spacing w:after="0"/>
              <w:rPr>
                <w:sz w:val="20"/>
                <w:szCs w:val="20"/>
                <w:color w:val="auto"/>
              </w:rPr>
            </w:pPr>
            <w:r>
              <w:rPr>
                <w:rFonts w:ascii="Courier New" w:cs="Courier New" w:eastAsia="Courier New" w:hAnsi="Courier New"/>
                <w:sz w:val="16"/>
                <w:szCs w:val="16"/>
                <w:color w:val="auto"/>
                <w:w w:val="97"/>
              </w:rPr>
              <w:t>Revenues: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sales to unaffiliated customers.........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807,499</w:t>
            </w: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$1,260,928</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$2,068,427</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sales between geographic segments.......</w:t>
            </w:r>
          </w:p>
        </w:tc>
        <w:tc>
          <w:tcPr>
            <w:tcW w:w="28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20,218</w:t>
            </w:r>
          </w:p>
        </w:tc>
        <w:tc>
          <w:tcPr>
            <w:tcW w:w="3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203,882</w:t>
            </w:r>
          </w:p>
        </w:tc>
        <w:tc>
          <w:tcPr>
            <w:tcW w:w="42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827,717</w:t>
            </w:r>
          </w:p>
        </w:tc>
        <w:tc>
          <w:tcPr>
            <w:tcW w:w="3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1,464,810</w:t>
            </w:r>
          </w:p>
        </w:tc>
        <w:tc>
          <w:tcPr>
            <w:tcW w:w="42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7"/>
              </w:rPr>
              <w:t>2,068,427</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Finance income..............................</w:t>
            </w:r>
          </w:p>
        </w:tc>
        <w:tc>
          <w:tcPr>
            <w:tcW w:w="28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56,621</w:t>
            </w:r>
          </w:p>
        </w:tc>
        <w:tc>
          <w:tcPr>
            <w:tcW w:w="3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56,621</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revenues......................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884,338</w:t>
            </w: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$1,464,810</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$2,125,048</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Income from operations(2)...................</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65,175</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163,948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227,666</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Identifiable assets.........................</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$1,406,778</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943,588</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$2,162,915</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924"/>
        </w:trPr>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5"/>
          </w:tcPr>
          <w:p>
            <w:pPr>
              <w:jc w:val="right"/>
              <w:ind w:right="700"/>
              <w:spacing w:after="0"/>
              <w:rPr>
                <w:sz w:val="20"/>
                <w:szCs w:val="20"/>
                <w:color w:val="auto"/>
              </w:rPr>
            </w:pPr>
            <w:r>
              <w:rPr>
                <w:rFonts w:ascii="Courier New" w:cs="Courier New" w:eastAsia="Courier New" w:hAnsi="Courier New"/>
                <w:sz w:val="16"/>
                <w:szCs w:val="16"/>
                <w:color w:val="auto"/>
              </w:rPr>
              <w:t>YEAR ENDED DECEMBER 31, 1994</w:t>
            </w:r>
          </w:p>
        </w:tc>
      </w:tr>
      <w:tr>
        <w:trPr>
          <w:trHeight w:val="185"/>
        </w:trPr>
        <w:tc>
          <w:tcPr>
            <w:tcW w:w="4520" w:type="dxa"/>
            <w:vAlign w:val="bottom"/>
          </w:tcPr>
          <w:p>
            <w:pPr>
              <w:spacing w:after="0"/>
              <w:rPr>
                <w:sz w:val="16"/>
                <w:szCs w:val="16"/>
                <w:color w:val="auto"/>
              </w:rPr>
            </w:pPr>
          </w:p>
        </w:tc>
        <w:tc>
          <w:tcPr>
            <w:tcW w:w="4320" w:type="dxa"/>
            <w:vAlign w:val="bottom"/>
            <w:gridSpan w:val="6"/>
          </w:tcPr>
          <w:p>
            <w:pPr>
              <w:ind w:left="1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center"/>
              <w:ind w:right="280"/>
              <w:spacing w:after="0"/>
              <w:rPr>
                <w:sz w:val="20"/>
                <w:szCs w:val="20"/>
                <w:color w:val="auto"/>
              </w:rPr>
            </w:pPr>
            <w:r>
              <w:rPr>
                <w:rFonts w:ascii="Courier New" w:cs="Courier New" w:eastAsia="Courier New" w:hAnsi="Courier New"/>
                <w:sz w:val="16"/>
                <w:szCs w:val="16"/>
                <w:color w:val="auto"/>
              </w:rPr>
              <w:t>WESTERN</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right="260"/>
              <w:spacing w:after="0"/>
              <w:rPr>
                <w:sz w:val="20"/>
                <w:szCs w:val="20"/>
                <w:color w:val="auto"/>
              </w:rPr>
            </w:pPr>
            <w:r>
              <w:rPr>
                <w:rFonts w:ascii="Courier New" w:cs="Courier New" w:eastAsia="Courier New" w:hAnsi="Courier New"/>
                <w:sz w:val="16"/>
                <w:szCs w:val="16"/>
                <w:color w:val="auto"/>
              </w:rPr>
              <w:t>UNITED</w:t>
            </w:r>
          </w:p>
        </w:tc>
        <w:tc>
          <w:tcPr>
            <w:tcW w:w="15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EUROPE AND</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52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STATES AND</w:t>
            </w:r>
          </w:p>
        </w:tc>
        <w:tc>
          <w:tcPr>
            <w:tcW w:w="340" w:type="dxa"/>
            <w:vAlign w:val="bottom"/>
          </w:tcPr>
          <w:p>
            <w:pPr>
              <w:spacing w:after="0"/>
              <w:rPr>
                <w:sz w:val="16"/>
                <w:szCs w:val="16"/>
                <w:color w:val="auto"/>
              </w:rPr>
            </w:pPr>
          </w:p>
        </w:tc>
        <w:tc>
          <w:tcPr>
            <w:tcW w:w="1200" w:type="dxa"/>
            <w:vAlign w:val="bottom"/>
          </w:tcPr>
          <w:p>
            <w:pPr>
              <w:jc w:val="center"/>
              <w:ind w:right="280"/>
              <w:spacing w:after="0"/>
              <w:rPr>
                <w:sz w:val="20"/>
                <w:szCs w:val="20"/>
                <w:color w:val="auto"/>
              </w:rPr>
            </w:pPr>
            <w:r>
              <w:rPr>
                <w:rFonts w:ascii="Courier New" w:cs="Courier New" w:eastAsia="Courier New" w:hAnsi="Courier New"/>
                <w:sz w:val="16"/>
                <w:szCs w:val="16"/>
                <w:color w:val="auto"/>
                <w:w w:val="99"/>
              </w:rPr>
              <w:t>OTHER</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right="260"/>
              <w:spacing w:after="0"/>
              <w:rPr>
                <w:sz w:val="20"/>
                <w:szCs w:val="20"/>
                <w:color w:val="auto"/>
              </w:rPr>
            </w:pPr>
            <w:r>
              <w:rPr>
                <w:rFonts w:ascii="Courier New" w:cs="Courier New" w:eastAsia="Courier New" w:hAnsi="Courier New"/>
                <w:sz w:val="16"/>
                <w:szCs w:val="16"/>
                <w:color w:val="auto"/>
              </w:rPr>
              <w:t>CANADA</w:t>
            </w:r>
          </w:p>
        </w:tc>
        <w:tc>
          <w:tcPr>
            <w:tcW w:w="1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INTERNATIONAL</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CONSOLIDATED(1)</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520" w:type="dxa"/>
            <w:vAlign w:val="bottom"/>
          </w:tcPr>
          <w:p>
            <w:pPr>
              <w:jc w:val="right"/>
              <w:ind w:right="3580"/>
              <w:spacing w:after="0"/>
              <w:rPr>
                <w:sz w:val="20"/>
                <w:szCs w:val="20"/>
                <w:color w:val="auto"/>
              </w:rPr>
            </w:pPr>
            <w:r>
              <w:rPr>
                <w:rFonts w:ascii="Courier New" w:cs="Courier New" w:eastAsia="Courier New" w:hAnsi="Courier New"/>
                <w:sz w:val="16"/>
                <w:szCs w:val="16"/>
                <w:color w:val="auto"/>
                <w:w w:val="97"/>
              </w:rPr>
              <w:t>Revenues: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sales to unaffiliated customers.........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770,661</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$548,610</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$1,319,271</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sales between geographic segments.......</w:t>
            </w:r>
          </w:p>
        </w:tc>
        <w:tc>
          <w:tcPr>
            <w:tcW w:w="28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1,276</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61,930</w:t>
            </w:r>
          </w:p>
        </w:tc>
        <w:tc>
          <w:tcPr>
            <w:tcW w:w="42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771,937</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610,540</w:t>
            </w:r>
          </w:p>
        </w:tc>
        <w:tc>
          <w:tcPr>
            <w:tcW w:w="42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7"/>
              </w:rPr>
              <w:t>1,319,271</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Finance income..............................</w:t>
            </w:r>
          </w:p>
        </w:tc>
        <w:tc>
          <w:tcPr>
            <w:tcW w:w="28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39,741</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39,741</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revenues......................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811,678</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$610,540</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$1,359,012</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Income from operations(2)...................</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81,736</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$ 47,484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126,910</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Identifiable assets.........................</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$1,192,788</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$738,268</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$1,823,294</w:t>
            </w:r>
          </w:p>
        </w:tc>
      </w:tr>
      <w:tr>
        <w:trPr>
          <w:trHeight w:val="185"/>
        </w:trPr>
        <w:tc>
          <w:tcPr>
            <w:tcW w:w="452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w:t>
            </w:r>
          </w:p>
        </w:tc>
        <w:tc>
          <w:tcPr>
            <w:tcW w:w="15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481" w:right="3199" w:hanging="481"/>
        <w:spacing w:after="0" w:line="242" w:lineRule="auto"/>
        <w:tabs>
          <w:tab w:leader="none" w:pos="38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information reflects the elimination of intersegment transactions. Intersegment sales are made at selling prices that are</w:t>
      </w:r>
    </w:p>
    <w:p>
      <w:pPr>
        <w:sectPr>
          <w:pgSz w:w="11900" w:h="16838" w:orient="portrait"/>
          <w:cols w:equalWidth="0" w:num="1">
            <w:col w:w="10221"/>
          </w:cols>
          <w:pgMar w:left="239" w:top="300" w:right="1440" w:bottom="0" w:gutter="0" w:footer="0" w:header="0"/>
        </w:sectPr>
      </w:pPr>
    </w:p>
    <w:bookmarkStart w:id="50" w:name="page51"/>
    <w:bookmarkEnd w:id="50"/>
    <w:p>
      <w:pPr>
        <w:ind w:left="481"/>
        <w:spacing w:after="0"/>
        <w:rPr>
          <w:sz w:val="20"/>
          <w:szCs w:val="20"/>
          <w:color w:val="auto"/>
        </w:rPr>
      </w:pPr>
      <w:r>
        <w:rPr>
          <w:rFonts w:ascii="Courier New" w:cs="Courier New" w:eastAsia="Courier New" w:hAnsi="Courier New"/>
          <w:sz w:val="16"/>
          <w:szCs w:val="16"/>
          <w:color w:val="auto"/>
        </w:rPr>
        <w:t>intended to reflect the market value of the products.</w:t>
      </w:r>
    </w:p>
    <w:p>
      <w:pPr>
        <w:spacing w:after="0" w:line="5" w:lineRule="exact"/>
        <w:rPr>
          <w:sz w:val="20"/>
          <w:szCs w:val="20"/>
          <w:color w:val="auto"/>
        </w:rPr>
      </w:pPr>
    </w:p>
    <w:p>
      <w:pPr>
        <w:ind w:left="481" w:right="2539" w:hanging="481"/>
        <w:spacing w:after="0" w:line="243" w:lineRule="auto"/>
        <w:tabs>
          <w:tab w:leader="none" w:pos="3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operations represents revenues less cost of goods sold, selling, general and administrative expenses, engineering expenses, nonrecurring expenses, interest expense for Agricredit for the years ended December 31, 1995 and 1994, and intangible asset amortization.</w:t>
      </w:r>
    </w:p>
    <w:p>
      <w:pPr>
        <w:sectPr>
          <w:pgSz w:w="11900" w:h="16838" w:orient="portrait"/>
          <w:cols w:equalWidth="0" w:num="1">
            <w:col w:w="10221"/>
          </w:cols>
          <w:pgMar w:left="239" w:top="140"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33</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AGCO CORPORATION AND SUBSIDIARIES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Net</w:t>
            </w:r>
          </w:p>
        </w:tc>
        <w:tc>
          <w:tcPr>
            <w:tcW w:w="682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9"/>
              </w:rPr>
              <w:t>sales by customer location for the years ended December 31, 1996, 1995</w:t>
            </w:r>
          </w:p>
        </w:tc>
        <w:tc>
          <w:tcPr>
            <w:tcW w:w="960" w:type="dxa"/>
            <w:vAlign w:val="bottom"/>
          </w:tcPr>
          <w:p>
            <w:pPr>
              <w:spacing w:after="0"/>
              <w:rPr>
                <w:sz w:val="15"/>
                <w:szCs w:val="15"/>
                <w:color w:val="auto"/>
              </w:rPr>
            </w:pPr>
          </w:p>
        </w:tc>
      </w:tr>
      <w:tr>
        <w:trPr>
          <w:trHeight w:val="185"/>
        </w:trPr>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and 1994</w:t>
            </w:r>
          </w:p>
        </w:tc>
        <w:tc>
          <w:tcPr>
            <w:tcW w:w="4240" w:type="dxa"/>
            <w:vAlign w:val="bottom"/>
          </w:tcPr>
          <w:p>
            <w:pPr>
              <w:ind w:left="100"/>
              <w:spacing w:after="0"/>
              <w:rPr>
                <w:sz w:val="20"/>
                <w:szCs w:val="20"/>
                <w:color w:val="auto"/>
              </w:rPr>
            </w:pPr>
            <w:r>
              <w:rPr>
                <w:rFonts w:ascii="Courier New" w:cs="Courier New" w:eastAsia="Courier New" w:hAnsi="Courier New"/>
                <w:sz w:val="16"/>
                <w:szCs w:val="16"/>
                <w:color w:val="auto"/>
              </w:rPr>
              <w:t>were as follows (in thousands):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739"/>
        </w:trPr>
        <w:tc>
          <w:tcPr>
            <w:tcW w:w="7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7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5000" w:type="dxa"/>
            <w:vAlign w:val="bottom"/>
            <w:gridSpan w:val="2"/>
          </w:tcPr>
          <w:p>
            <w:pPr>
              <w:spacing w:after="0"/>
              <w:rPr>
                <w:sz w:val="20"/>
                <w:szCs w:val="20"/>
                <w:color w:val="auto"/>
              </w:rPr>
            </w:pPr>
            <w:r>
              <w:rPr>
                <w:rFonts w:ascii="Courier New" w:cs="Courier New" w:eastAsia="Courier New" w:hAnsi="Courier New"/>
                <w:sz w:val="16"/>
                <w:szCs w:val="16"/>
                <w:color w:val="auto"/>
              </w:rPr>
              <w:t>Net Sales: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United States....................................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681,064</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660,879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  626,205</w:t>
            </w:r>
          </w:p>
        </w:tc>
      </w:tr>
      <w:tr>
        <w:trPr>
          <w:trHeight w:val="185"/>
        </w:trPr>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Canada</w:t>
            </w:r>
          </w:p>
        </w:tc>
        <w:tc>
          <w:tcPr>
            <w:tcW w:w="42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153,773</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134,458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130,316</w:t>
            </w:r>
          </w:p>
        </w:tc>
      </w:tr>
      <w:tr>
        <w:trPr>
          <w:trHeight w:val="185"/>
        </w:trPr>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Europe</w:t>
            </w:r>
          </w:p>
        </w:tc>
        <w:tc>
          <w:tcPr>
            <w:tcW w:w="42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1,021,016</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947,628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389,687</w:t>
            </w:r>
          </w:p>
        </w:tc>
      </w:tr>
      <w:tr>
        <w:trPr>
          <w:trHeight w:val="185"/>
        </w:trPr>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Australia........................................</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67,000</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39,477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23,132</w:t>
            </w:r>
          </w:p>
        </w:tc>
      </w:tr>
      <w:tr>
        <w:trPr>
          <w:trHeight w:val="185"/>
        </w:trPr>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Africa</w:t>
            </w:r>
          </w:p>
        </w:tc>
        <w:tc>
          <w:tcPr>
            <w:tcW w:w="42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80,643</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71,672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44,053</w:t>
            </w:r>
          </w:p>
        </w:tc>
      </w:tr>
      <w:tr>
        <w:trPr>
          <w:trHeight w:val="185"/>
        </w:trPr>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Asia.............................................</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122,519</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135,031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42,907</w:t>
            </w:r>
          </w:p>
        </w:tc>
      </w:tr>
      <w:tr>
        <w:trPr>
          <w:trHeight w:val="185"/>
        </w:trPr>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Middle East......................................</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72,473</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41,203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34,846</w:t>
            </w:r>
          </w:p>
        </w:tc>
      </w:tr>
      <w:tr>
        <w:trPr>
          <w:trHeight w:val="185"/>
        </w:trPr>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Mexico, Central America and Caribbean............</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18,782</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18,068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13,219</w:t>
            </w:r>
          </w:p>
        </w:tc>
      </w:tr>
      <w:tr>
        <w:trPr>
          <w:trHeight w:val="185"/>
        </w:trPr>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South America....................................</w:t>
            </w:r>
          </w:p>
        </w:tc>
        <w:tc>
          <w:tcPr>
            <w:tcW w:w="18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100,216</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20,011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14,906</w:t>
            </w:r>
          </w:p>
        </w:tc>
      </w:tr>
      <w:tr>
        <w:trPr>
          <w:trHeight w:val="185"/>
        </w:trPr>
        <w:tc>
          <w:tcPr>
            <w:tcW w:w="7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7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2,317,486</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$2,068,427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$1,319,271</w:t>
            </w:r>
          </w:p>
        </w:tc>
      </w:tr>
      <w:tr>
        <w:trPr>
          <w:trHeight w:val="185"/>
        </w:trPr>
        <w:tc>
          <w:tcPr>
            <w:tcW w:w="7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bl>
    <w:p>
      <w:pPr>
        <w:spacing w:after="0" w:line="375"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Total export sales from the United States were $194,472,000 in 1996, $157,663,000 in 1995 and $138,540,000 in 1994 with the large majority of products sold in Canada. In 1996, the remaining sales to customers outside the United States were sourced from the Company's operations in Europe and Brazil. In 1995 and 1994, the remaining sales to customers outside the United States were sourced solely from the Company's operations in Europe.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SUBSEQUENT EVENTS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January 14, 1997, the Company replaced the March 1996 Credit Facility with a new revolving credit facility (the "January 1997 Credit Facility"), which initially provides for borrowings of up to $1.0 billion. In February 1997, the January 1997 Credit Facility was amended to allow for borrowings of up to $1.2 billion. Borrowings under the January 1997 Credit Facility may not exceed the sum of 90% of eligible accounts receivable and 60% of eligible inventory. Lending commitments under the January 1997 Credit Facility reduce to $1.1 billion on January 1, 1998 and $1.0 billion on January 1, 1999. If the Company consummates offerings of debt or capital stock prior to such dates, the proceeds of such offerings will be used to reduce the lending commitments, but not below $1.0 billion.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 January 20, 1997, the Company acquired the operations of Xaver Fendt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GmbH &amp; Co. KG ("Fendt") for approximately $283,500,000 plus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$38,304,000 of assumed working capital debt (the "Fendt Acquisition"). The Fendt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was financed by borrowings under the Company's January 1997 Credit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 The transaction consists of the purchase of the outstanding stock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Fendt and its interests in other subsidiaries. Fendt's primary business is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manufacture and sale of tractors through a network of independent agricultural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cooperatives, dealers and distributors in Germany and throughout Europe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190"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On January 22, 1997, the Company filed a registration statement with the Securities and Exchange Commission for the sale of 4,500,000 shares of its common stock (the "Offering"). The Company intends to use the proceeds from the Offering to reduce a portion of the borrowings outstanding under the January 1997 Credit Facility and expects the transaction to be completed in March 1997.</w:t>
      </w:r>
    </w:p>
    <w:p>
      <w:pPr>
        <w:sectPr>
          <w:pgSz w:w="11900" w:h="16838" w:orient="portrait"/>
          <w:cols w:equalWidth="0" w:num="1">
            <w:col w:w="10219"/>
          </w:cols>
          <w:pgMar w:left="240" w:top="300"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99.3</w:t>
      </w:r>
    </w:p>
    <w:p>
      <w:pPr>
        <w:spacing w:after="0" w:line="200" w:lineRule="exact"/>
        <w:rPr>
          <w:sz w:val="20"/>
          <w:szCs w:val="20"/>
          <w:color w:val="auto"/>
        </w:rPr>
      </w:pPr>
    </w:p>
    <w:p>
      <w:pPr>
        <w:spacing w:after="0" w:line="35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As independent public accountants, we hereby consent to the use of our reports on the consolidated financial statements and schedule of AGCO Corporation and Subsidiaries (and to all references to our Firm) included (or incorporated by reference) in this Registration Statement covering the sale of AGCO Corporation common stock.</w:t>
      </w:r>
    </w:p>
    <w:p>
      <w:pPr>
        <w:spacing w:after="0" w:line="185"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ARTHUR ANDERSEN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Atlanta, Georgia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26, 1997</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3"/>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lvl w:ilvl="1">
      <w:lvlJc w:val="left"/>
      <w:lvlText w:val="&amp;"/>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2019-12-13T21:00:18Z</dcterms:created>
  <dcterms:modified xsi:type="dcterms:W3CDTF">2019-12-13T21:00:18Z</dcterms:modified>
</cp:coreProperties>
</file>