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1417955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20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0"/>
          <w:szCs w:val="40"/>
          <w:b w:val="1"/>
          <w:bCs w:val="1"/>
          <w:color w:val="auto"/>
        </w:rPr>
        <w:t>FORM SD</w:t>
      </w:r>
    </w:p>
    <w:p>
      <w:pPr>
        <w:spacing w:after="0" w:line="6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9"/>
          <w:szCs w:val="29"/>
          <w:b w:val="1"/>
          <w:bCs w:val="1"/>
          <w:color w:val="auto"/>
        </w:rPr>
        <w:t>Specialized Disclosure Report</w:t>
      </w:r>
    </w:p>
    <w:p>
      <w:pPr>
        <w:spacing w:after="0" w:line="240"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200" w:lineRule="exact"/>
        <w:rPr>
          <w:sz w:val="24"/>
          <w:szCs w:val="24"/>
          <w:color w:val="auto"/>
        </w:rPr>
      </w:pPr>
    </w:p>
    <w:p>
      <w:pPr>
        <w:spacing w:after="0" w:line="25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AGCO CORPORATION</w:t>
      </w:r>
    </w:p>
    <w:p>
      <w:pPr>
        <w:spacing w:after="0" w:line="6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IRS Employer Identification No. 58-1960019</w:t>
      </w:r>
    </w:p>
    <w:p>
      <w:pPr>
        <w:spacing w:after="0" w:line="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SEC File Number 1-12930</w:t>
      </w:r>
    </w:p>
    <w:p>
      <w:pPr>
        <w:spacing w:after="0" w:line="200" w:lineRule="exact"/>
        <w:rPr>
          <w:sz w:val="24"/>
          <w:szCs w:val="24"/>
          <w:color w:val="auto"/>
        </w:rPr>
      </w:pPr>
    </w:p>
    <w:p>
      <w:pPr>
        <w:spacing w:after="0" w:line="27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4205 River Green Parkway</w:t>
      </w:r>
    </w:p>
    <w:p>
      <w:pPr>
        <w:spacing w:after="0" w:line="3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Duluth, GA 30096</w:t>
      </w:r>
    </w:p>
    <w:p>
      <w:pPr>
        <w:spacing w:after="0" w:line="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(770) 813-9200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741680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right="240"/>
        <w:spacing w:after="0" w:line="255" w:lineRule="auto"/>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filed, and provide the period to which the information in this form applies:</w:t>
      </w:r>
    </w:p>
    <w:p>
      <w:pPr>
        <w:spacing w:after="0" w:line="16" w:lineRule="exact"/>
        <w:rPr>
          <w:sz w:val="24"/>
          <w:szCs w:val="24"/>
          <w:color w:val="auto"/>
        </w:rPr>
      </w:pPr>
    </w:p>
    <w:p>
      <w:pPr>
        <w:ind w:firstLine="8"/>
        <w:spacing w:after="0" w:line="255" w:lineRule="auto"/>
        <w:tabs>
          <w:tab w:leader="none" w:pos="2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13p-1 under the Securities Exchange Act (17 CFR 240.13p-1) for the reporting period from January 1 to December 31, 2025.</w:t>
      </w:r>
    </w:p>
    <w:p>
      <w:pPr>
        <w:spacing w:after="0" w:line="1" w:lineRule="exact"/>
        <w:rPr>
          <w:rFonts w:ascii="MS PGothic" w:cs="MS PGothic" w:eastAsia="MS PGothic" w:hAnsi="MS PGothic"/>
          <w:sz w:val="22"/>
          <w:szCs w:val="22"/>
          <w:color w:val="auto"/>
        </w:rPr>
      </w:pPr>
    </w:p>
    <w:p>
      <w:pPr>
        <w:spacing w:after="0" w:line="253" w:lineRule="exact"/>
        <w:rPr>
          <w:rFonts w:ascii="MS PGothic" w:cs="MS PGothic" w:eastAsia="MS PGothic" w:hAnsi="MS PGothic"/>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Rule 13q-1 under the Securities Exchange Act (17 CFR 240.13q-1) for the fiscal year ended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1" w:name="page2"/>
    <w:bookmarkEnd w:id="1"/>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25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1.01</w:t>
      </w:r>
      <w:r>
        <w:rPr>
          <w:sz w:val="20"/>
          <w:szCs w:val="20"/>
          <w:color w:val="auto"/>
        </w:rPr>
        <w:tab/>
      </w:r>
      <w:r>
        <w:rPr>
          <w:rFonts w:ascii="Times New Roman" w:cs="Times New Roman" w:eastAsia="Times New Roman" w:hAnsi="Times New Roman"/>
          <w:sz w:val="19"/>
          <w:szCs w:val="19"/>
          <w:b w:val="1"/>
          <w:bCs w:val="1"/>
          <w:color w:val="auto"/>
        </w:rPr>
        <w:t>Conflict Minerals Disclosure and Report</w:t>
      </w:r>
    </w:p>
    <w:p>
      <w:pPr>
        <w:spacing w:after="0" w:line="247"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AGCO Corporation (the “Company”) has filed a Conflict Minerals Report, which is attached as an exhibit in Item 2.01 and is also publicly available on the Company's website (</w:t>
      </w:r>
      <w:r>
        <w:rPr>
          <w:rFonts w:ascii="Times New Roman" w:cs="Times New Roman" w:eastAsia="Times New Roman" w:hAnsi="Times New Roman"/>
          <w:sz w:val="20"/>
          <w:szCs w:val="20"/>
          <w:i w:val="1"/>
          <w:iCs w:val="1"/>
          <w:u w:val="single" w:color="auto"/>
          <w:color w:val="auto"/>
        </w:rPr>
        <w:t>www.agcocorp.com</w:t>
      </w:r>
      <w:r>
        <w:rPr>
          <w:rFonts w:ascii="Times New Roman" w:cs="Times New Roman" w:eastAsia="Times New Roman" w:hAnsi="Times New Roman"/>
          <w:sz w:val="20"/>
          <w:szCs w:val="20"/>
          <w:color w:val="auto"/>
        </w:rPr>
        <w:t>) under the heading “SEC Filings” in the “Investors” section.</w:t>
      </w:r>
    </w:p>
    <w:p>
      <w:pPr>
        <w:spacing w:after="0" w:line="16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1.02</w:t>
      </w:r>
      <w:r>
        <w:rPr>
          <w:sz w:val="20"/>
          <w:szCs w:val="20"/>
          <w:color w:val="auto"/>
        </w:rPr>
        <w:tab/>
      </w:r>
      <w:r>
        <w:rPr>
          <w:rFonts w:ascii="Times New Roman" w:cs="Times New Roman" w:eastAsia="Times New Roman" w:hAnsi="Times New Roman"/>
          <w:sz w:val="19"/>
          <w:szCs w:val="19"/>
          <w:b w:val="1"/>
          <w:bCs w:val="1"/>
          <w:color w:val="auto"/>
        </w:rPr>
        <w:t>Exhibit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filed a Conflict Minerals Report as Exhibit 1.01 to this Form SD.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Item 2.01</w:t>
            </w:r>
          </w:p>
        </w:tc>
        <w:tc>
          <w:tcPr>
            <w:tcW w:w="10260" w:type="dxa"/>
            <w:vAlign w:val="bottom"/>
            <w:gridSpan w:val="5"/>
          </w:tcPr>
          <w:p>
            <w:pPr>
              <w:ind w:left="20"/>
              <w:spacing w:after="0"/>
              <w:rPr>
                <w:sz w:val="20"/>
                <w:szCs w:val="20"/>
                <w:color w:val="auto"/>
              </w:rPr>
            </w:pPr>
            <w:r>
              <w:rPr>
                <w:rFonts w:ascii="Times New Roman" w:cs="Times New Roman" w:eastAsia="Times New Roman" w:hAnsi="Times New Roman"/>
                <w:sz w:val="20"/>
                <w:szCs w:val="20"/>
                <w:b w:val="1"/>
                <w:bCs w:val="1"/>
                <w:color w:val="auto"/>
              </w:rPr>
              <w:t>Exhibits</w:t>
            </w:r>
          </w:p>
        </w:tc>
      </w:tr>
      <w:tr>
        <w:trPr>
          <w:trHeight w:val="611"/>
        </w:trPr>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Exhibit No.</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Description</w:t>
            </w:r>
          </w:p>
        </w:tc>
      </w:tr>
      <w:tr>
        <w:trPr>
          <w:trHeight w:val="281"/>
        </w:trPr>
        <w:tc>
          <w:tcPr>
            <w:tcW w:w="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20"/>
                <w:szCs w:val="20"/>
                <w:color w:val="0000FF"/>
                <w:w w:val="96"/>
              </w:rPr>
              <w:t>1.</w:t>
            </w:r>
            <w:r>
              <w:rPr>
                <w:rFonts w:ascii="Times New Roman" w:cs="Times New Roman" w:eastAsia="Times New Roman" w:hAnsi="Times New Roman"/>
                <w:sz w:val="20"/>
                <w:szCs w:val="20"/>
                <w:u w:val="single" w:color="auto"/>
                <w:color w:val="0000FF"/>
                <w:w w:val="96"/>
              </w:rPr>
              <w:t>01</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Conflict Minerals Report</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ind w:firstLine="19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AGCO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40"/>
        <w:spacing w:after="0"/>
        <w:tabs>
          <w:tab w:leader="none" w:pos="81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Damon Audia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31115</wp:posOffset>
            </wp:positionV>
            <wp:extent cx="30175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74"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color w:val="auto"/>
        </w:rPr>
        <w:t>Damon Audia</w:t>
      </w:r>
    </w:p>
    <w:p>
      <w:pPr>
        <w:spacing w:after="0" w:line="28"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color w:val="auto"/>
        </w:rPr>
        <w:t>Senior Vice President and Chief Financial Officer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May 22, 2026</w:t>
      </w:r>
    </w:p>
    <w:p>
      <w:pPr>
        <w:sectPr>
          <w:pgSz w:w="11900" w:h="16838" w:orient="portrait"/>
          <w:cols w:equalWidth="0" w:num="1">
            <w:col w:w="11220"/>
          </w:cols>
          <w:pgMar w:left="320" w:top="1409"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AGCO Corporation</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Conflict Minerals Report</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Calendar Year Ended December 31, 2025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 Introduction</w:t>
      </w:r>
    </w:p>
    <w:p>
      <w:pPr>
        <w:spacing w:after="0" w:line="301" w:lineRule="exact"/>
        <w:rPr>
          <w:sz w:val="20"/>
          <w:szCs w:val="20"/>
          <w:color w:val="auto"/>
        </w:rPr>
      </w:pPr>
    </w:p>
    <w:p>
      <w:pPr>
        <w:jc w:val="both"/>
        <w:ind w:firstLine="213"/>
        <w:spacing w:after="0" w:line="293" w:lineRule="auto"/>
        <w:rPr>
          <w:sz w:val="20"/>
          <w:szCs w:val="20"/>
          <w:color w:val="auto"/>
        </w:rPr>
      </w:pPr>
      <w:r>
        <w:rPr>
          <w:rFonts w:ascii="Times New Roman" w:cs="Times New Roman" w:eastAsia="Times New Roman" w:hAnsi="Times New Roman"/>
          <w:sz w:val="20"/>
          <w:szCs w:val="20"/>
          <w:color w:val="auto"/>
        </w:rPr>
        <w:t>AGCO Corporation (the “Company”) manufactures and sells products that contain Conflict Minerals. (Capitalized terms that are used but not defined in this Report have the meanings given to them in Form SD.) Due to the depth of the supply chain, the Company is far removed from the sources of ore from which these conflict minerals are produced and the smelters/refiners that process those ores. The efforts undertaken to identify the countries of origin of those ores reflect our circumstances and position in the supply chain. The amount of information globally on the traceability and sourcing of these ores is limited at this time, and the information may not be entirely accurate; this situation is not unique to the Company.</w:t>
      </w:r>
    </w:p>
    <w:p>
      <w:pPr>
        <w:spacing w:after="0" w:line="205" w:lineRule="exact"/>
        <w:rPr>
          <w:sz w:val="20"/>
          <w:szCs w:val="20"/>
          <w:color w:val="auto"/>
        </w:rPr>
      </w:pPr>
    </w:p>
    <w:p>
      <w:pPr>
        <w:jc w:val="both"/>
        <w:ind w:firstLine="213"/>
        <w:spacing w:after="0" w:line="303" w:lineRule="auto"/>
        <w:rPr>
          <w:sz w:val="20"/>
          <w:szCs w:val="20"/>
          <w:color w:val="auto"/>
        </w:rPr>
      </w:pPr>
      <w:r>
        <w:rPr>
          <w:rFonts w:ascii="Times New Roman" w:cs="Times New Roman" w:eastAsia="Times New Roman" w:hAnsi="Times New Roman"/>
          <w:sz w:val="20"/>
          <w:szCs w:val="20"/>
          <w:color w:val="auto"/>
        </w:rPr>
        <w:t>The Company supports the initiatives embodied in Section 1502 of the Dodd-Frank Wall Street Reform and Consumer Protection Act and the related SEC rule designed to limit the flow of funds to armed groups in the Democratic Republic of the Congo and adjoining countries from the production of conflict minerals, and it is the Company’s policy to promote responsible sourcing.</w:t>
      </w:r>
    </w:p>
    <w:p>
      <w:pPr>
        <w:spacing w:after="0" w:line="168" w:lineRule="exact"/>
        <w:rPr>
          <w:sz w:val="20"/>
          <w:szCs w:val="20"/>
          <w:color w:val="auto"/>
        </w:rPr>
      </w:pPr>
    </w:p>
    <w:p>
      <w:pPr>
        <w:jc w:val="both"/>
        <w:ind w:firstLine="612"/>
        <w:spacing w:after="0" w:line="283" w:lineRule="auto"/>
        <w:rPr>
          <w:sz w:val="20"/>
          <w:szCs w:val="20"/>
          <w:color w:val="auto"/>
        </w:rPr>
      </w:pPr>
      <w:r>
        <w:rPr>
          <w:rFonts w:ascii="Times New Roman" w:cs="Times New Roman" w:eastAsia="Times New Roman" w:hAnsi="Times New Roman"/>
          <w:sz w:val="20"/>
          <w:szCs w:val="20"/>
          <w:color w:val="auto"/>
        </w:rPr>
        <w:t xml:space="preserve">The Company developed and published its Conflict Minerals Policy, which is available on the Company’s website </w:t>
      </w:r>
      <w:r>
        <w:rPr>
          <w:rFonts w:ascii="Times New Roman" w:cs="Times New Roman" w:eastAsia="Times New Roman" w:hAnsi="Times New Roman"/>
          <w:sz w:val="20"/>
          <w:szCs w:val="20"/>
          <w:i w:val="1"/>
          <w:iCs w:val="1"/>
          <w:color w:val="auto"/>
        </w:rPr>
        <w:t>h</w:t>
      </w:r>
      <w:r>
        <w:rPr>
          <w:rFonts w:ascii="Times New Roman" w:cs="Times New Roman" w:eastAsia="Times New Roman" w:hAnsi="Times New Roman"/>
          <w:sz w:val="20"/>
          <w:szCs w:val="20"/>
          <w:i w:val="1"/>
          <w:iCs w:val="1"/>
          <w:u w:val="single" w:color="auto"/>
          <w:color w:val="auto"/>
        </w:rPr>
        <w:t>ttps://www.agcocorp.com/content/dam/public/agco-corp-v2/en/suppliers/AGCO_Conflict_Minerals_Policy_062024.pdf</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209"/>
        <w:spacing w:after="0" w:line="293" w:lineRule="auto"/>
        <w:rPr>
          <w:sz w:val="20"/>
          <w:szCs w:val="20"/>
          <w:color w:val="auto"/>
        </w:rPr>
      </w:pPr>
      <w:r>
        <w:rPr>
          <w:rFonts w:ascii="Times New Roman" w:cs="Times New Roman" w:eastAsia="Times New Roman" w:hAnsi="Times New Roman"/>
          <w:sz w:val="20"/>
          <w:szCs w:val="20"/>
          <w:color w:val="auto"/>
        </w:rPr>
        <w:t>During 2025 the Company identified its suppliers that had the potential to sell to the Company products that contain conflict minerals and, using a third-party service provider, asked these suppliers to identify the sources of the conflict minerals and products containing conflict minerals that they supply to the Company. The responses were reviewed by the service provider for completeness and consistency of answers. The service provider requested suppliers to provide corrections and clarifications to their submissions where needed. The Company uses a service provider because of its greater expertise with respect to smelters and refiners in soliciting the information needed from suppliers for the Company to achieve its objectives.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II. Due Diligence Program Design</w:t>
      </w:r>
    </w:p>
    <w:p>
      <w:pPr>
        <w:spacing w:after="0" w:line="283" w:lineRule="exact"/>
        <w:rPr>
          <w:sz w:val="20"/>
          <w:szCs w:val="20"/>
          <w:color w:val="auto"/>
        </w:rPr>
      </w:pPr>
    </w:p>
    <w:p>
      <w:pPr>
        <w:jc w:val="both"/>
        <w:ind w:firstLine="241"/>
        <w:spacing w:after="0" w:line="305" w:lineRule="auto"/>
        <w:rPr>
          <w:sz w:val="20"/>
          <w:szCs w:val="20"/>
          <w:color w:val="auto"/>
        </w:rPr>
      </w:pPr>
      <w:r>
        <w:rPr>
          <w:rFonts w:ascii="Times New Roman" w:cs="Times New Roman" w:eastAsia="Times New Roman" w:hAnsi="Times New Roman"/>
          <w:sz w:val="20"/>
          <w:szCs w:val="20"/>
          <w:color w:val="auto"/>
        </w:rPr>
        <w:t xml:space="preserve">The Company designed its overall conflict minerals procedures in conformity with the five-step framework contained in the </w:t>
      </w:r>
      <w:r>
        <w:rPr>
          <w:rFonts w:ascii="Times New Roman" w:cs="Times New Roman" w:eastAsia="Times New Roman" w:hAnsi="Times New Roman"/>
          <w:sz w:val="20"/>
          <w:szCs w:val="20"/>
          <w:i w:val="1"/>
          <w:iCs w:val="1"/>
          <w:color w:val="auto"/>
        </w:rPr>
        <w:t>OECD Due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Diligence Guidance for Responsible Supply Chains of Minerals from Conflict-Affected and High-Risk Areas, Third Edition</w:t>
      </w:r>
      <w:r>
        <w:rPr>
          <w:rFonts w:ascii="Times New Roman" w:cs="Times New Roman" w:eastAsia="Times New Roman" w:hAnsi="Times New Roman"/>
          <w:sz w:val="20"/>
          <w:szCs w:val="20"/>
          <w:color w:val="auto"/>
        </w:rPr>
        <w:t>,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supplements on tin, tantalum, tungsten and gold. The principal features responding to each of the five steps are outlined below:</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1 Establish strong company management systems. The Company did this by:</w:t>
      </w:r>
    </w:p>
    <w:p>
      <w:pPr>
        <w:spacing w:after="0" w:line="54" w:lineRule="exact"/>
        <w:rPr>
          <w:sz w:val="20"/>
          <w:szCs w:val="20"/>
          <w:color w:val="auto"/>
        </w:rPr>
      </w:pPr>
    </w:p>
    <w:p>
      <w:pPr>
        <w:ind w:left="960" w:hanging="223"/>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Creating an internal policy governing our Conflict Minerals Compliance Program;</w:t>
      </w:r>
    </w:p>
    <w:p>
      <w:pPr>
        <w:spacing w:after="0" w:line="36" w:lineRule="exact"/>
        <w:rPr>
          <w:rFonts w:ascii="Times New Roman" w:cs="Times New Roman" w:eastAsia="Times New Roman" w:hAnsi="Times New Roman"/>
          <w:sz w:val="20"/>
          <w:szCs w:val="20"/>
          <w:color w:val="auto"/>
        </w:rPr>
      </w:pPr>
    </w:p>
    <w:p>
      <w:pPr>
        <w:ind w:left="980" w:right="2300" w:hanging="243"/>
        <w:spacing w:after="0" w:line="290" w:lineRule="auto"/>
        <w:tabs>
          <w:tab w:leader="none" w:pos="96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Publishing its Conflict Minerals Policy at </w:t>
      </w:r>
      <w:r>
        <w:rPr>
          <w:rFonts w:ascii="Times New Roman" w:cs="Times New Roman" w:eastAsia="Times New Roman" w:hAnsi="Times New Roman"/>
          <w:sz w:val="20"/>
          <w:szCs w:val="20"/>
          <w:i w:val="1"/>
          <w:iCs w:val="1"/>
          <w:u w:val="single" w:color="auto"/>
          <w:color w:val="auto"/>
        </w:rPr>
        <w:t>https://www.agcocorp.com/content/dam/public/agco-corp-v2/en/suppliers/AGCO_Conflict_Minerals_Policy_062024.pdf</w:t>
      </w:r>
      <w:r>
        <w:rPr>
          <w:rFonts w:ascii="Times New Roman" w:cs="Times New Roman" w:eastAsia="Times New Roman" w:hAnsi="Times New Roman"/>
          <w:sz w:val="20"/>
          <w:szCs w:val="20"/>
          <w:i w:val="1"/>
          <w:iCs w:val="1"/>
          <w:color w:val="auto"/>
        </w:rPr>
        <w:t>;</w:t>
      </w:r>
    </w:p>
    <w:p>
      <w:pPr>
        <w:spacing w:after="0" w:line="1" w:lineRule="exact"/>
        <w:rPr>
          <w:rFonts w:ascii="Times New Roman" w:cs="Times New Roman" w:eastAsia="Times New Roman" w:hAnsi="Times New Roman"/>
          <w:sz w:val="20"/>
          <w:szCs w:val="20"/>
          <w:color w:val="auto"/>
        </w:rPr>
      </w:pPr>
    </w:p>
    <w:p>
      <w:pPr>
        <w:ind w:left="980" w:right="20" w:hanging="243"/>
        <w:spacing w:after="0" w:line="281" w:lineRule="auto"/>
        <w:tabs>
          <w:tab w:leader="none" w:pos="96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with the Company’s global direct material and spare parts supply base, largely through its service provider, to ensure awareness and motivate action as it relates to Section 1502;</w:t>
      </w:r>
    </w:p>
    <w:p>
      <w:pPr>
        <w:spacing w:after="0" w:line="1" w:lineRule="exact"/>
        <w:rPr>
          <w:rFonts w:ascii="Times New Roman" w:cs="Times New Roman" w:eastAsia="Times New Roman" w:hAnsi="Times New Roman"/>
          <w:sz w:val="20"/>
          <w:szCs w:val="20"/>
          <w:color w:val="auto"/>
        </w:rPr>
      </w:pPr>
    </w:p>
    <w:p>
      <w:pPr>
        <w:ind w:left="980" w:hanging="243"/>
        <w:spacing w:after="0" w:line="325" w:lineRule="auto"/>
        <w:tabs>
          <w:tab w:leader="none" w:pos="96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an active membership in the Responsible Minerals Initiative (“RMI”), an industry initiative that audits smelters' and refiners' due diligence activities;</w:t>
      </w:r>
    </w:p>
    <w:p>
      <w:pPr>
        <w:sectPr>
          <w:pgSz w:w="11900" w:h="16838" w:orient="portrait"/>
          <w:cols w:equalWidth="0" w:num="1">
            <w:col w:w="11240"/>
          </w:cols>
          <w:pgMar w:left="320" w:top="788" w:right="339" w:bottom="1440" w:gutter="0" w:footer="0" w:header="0"/>
        </w:sectPr>
      </w:pPr>
    </w:p>
    <w:bookmarkStart w:id="4" w:name="page5"/>
    <w:bookmarkEnd w:id="4"/>
    <w:p>
      <w:pPr>
        <w:ind w:left="620" w:hanging="223"/>
        <w:spacing w:after="0"/>
        <w:tabs>
          <w:tab w:leader="none" w:pos="6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Utilizing the Conflict Minerals Reporting Template developed by the RMI to identify smelters and refiners in the supply chain;</w:t>
      </w:r>
    </w:p>
    <w:p>
      <w:pPr>
        <w:spacing w:after="0" w:line="40" w:lineRule="exact"/>
        <w:rPr>
          <w:rFonts w:ascii="Times New Roman" w:cs="Times New Roman" w:eastAsia="Times New Roman" w:hAnsi="Times New Roman"/>
          <w:sz w:val="20"/>
          <w:szCs w:val="20"/>
          <w:color w:val="auto"/>
        </w:rPr>
      </w:pPr>
    </w:p>
    <w:p>
      <w:pPr>
        <w:ind w:left="620" w:hanging="223"/>
        <w:spacing w:after="0"/>
        <w:tabs>
          <w:tab w:leader="none" w:pos="6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Reporting to senior management on (a) suppliers’ responses to the Company’s inquiries, and (b) supply chain risk;</w:t>
      </w:r>
    </w:p>
    <w:p>
      <w:pPr>
        <w:spacing w:after="0" w:line="53" w:lineRule="exact"/>
        <w:rPr>
          <w:rFonts w:ascii="Times New Roman" w:cs="Times New Roman" w:eastAsia="Times New Roman" w:hAnsi="Times New Roman"/>
          <w:sz w:val="20"/>
          <w:szCs w:val="20"/>
          <w:color w:val="auto"/>
        </w:rPr>
      </w:pPr>
    </w:p>
    <w:p>
      <w:pPr>
        <w:ind w:left="620" w:hanging="223"/>
        <w:spacing w:after="0"/>
        <w:tabs>
          <w:tab w:leader="none" w:pos="6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conflict minerals expectations in our supplier code of conduct;</w:t>
      </w:r>
    </w:p>
    <w:p>
      <w:pPr>
        <w:spacing w:after="0" w:line="40" w:lineRule="exact"/>
        <w:rPr>
          <w:rFonts w:ascii="Times New Roman" w:cs="Times New Roman" w:eastAsia="Times New Roman" w:hAnsi="Times New Roman"/>
          <w:sz w:val="20"/>
          <w:szCs w:val="20"/>
          <w:color w:val="auto"/>
        </w:rPr>
      </w:pPr>
    </w:p>
    <w:p>
      <w:pPr>
        <w:ind w:left="640" w:hanging="243"/>
        <w:spacing w:after="0" w:line="288"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Having a cross-functional conflict minerals executive steering committee, with representatives from finance, legal, and purchasing functions to provide oversight to the Company’s Conflict Minerals Compliance Program;</w:t>
      </w:r>
    </w:p>
    <w:p>
      <w:pPr>
        <w:spacing w:after="0" w:line="1" w:lineRule="exact"/>
        <w:rPr>
          <w:rFonts w:ascii="Times New Roman" w:cs="Times New Roman" w:eastAsia="Times New Roman" w:hAnsi="Times New Roman"/>
          <w:sz w:val="20"/>
          <w:szCs w:val="20"/>
          <w:color w:val="auto"/>
        </w:rPr>
      </w:pPr>
    </w:p>
    <w:p>
      <w:pPr>
        <w:ind w:left="640" w:hanging="243"/>
        <w:spacing w:after="0" w:line="311"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available an Ethics Hotline for employees, suppliers, or other interested party to report violations or questions related to conflict minerals at AGCO.</w:t>
      </w:r>
    </w:p>
    <w:p>
      <w:pPr>
        <w:spacing w:after="0" w:line="200" w:lineRule="exact"/>
        <w:rPr>
          <w:sz w:val="20"/>
          <w:szCs w:val="20"/>
          <w:color w:val="auto"/>
        </w:rPr>
      </w:pPr>
    </w:p>
    <w:p>
      <w:pPr>
        <w:ind w:right="20" w:firstLine="81"/>
        <w:spacing w:after="0" w:line="281" w:lineRule="auto"/>
        <w:rPr>
          <w:sz w:val="20"/>
          <w:szCs w:val="20"/>
          <w:color w:val="auto"/>
        </w:rPr>
      </w:pPr>
      <w:r>
        <w:rPr>
          <w:rFonts w:ascii="Times New Roman" w:cs="Times New Roman" w:eastAsia="Times New Roman" w:hAnsi="Times New Roman"/>
          <w:sz w:val="20"/>
          <w:szCs w:val="20"/>
          <w:color w:val="auto"/>
        </w:rPr>
        <w:t>2 Identify and assess risk in the supply chain. The Company did this largely through engaging a third-party service provider with the appropriate expertise and skills to:</w:t>
      </w:r>
    </w:p>
    <w:p>
      <w:pPr>
        <w:spacing w:after="0" w:line="1" w:lineRule="exact"/>
        <w:rPr>
          <w:sz w:val="20"/>
          <w:szCs w:val="20"/>
          <w:color w:val="auto"/>
        </w:rPr>
      </w:pPr>
    </w:p>
    <w:p>
      <w:pPr>
        <w:ind w:left="620" w:hanging="223"/>
        <w:spacing w:after="0"/>
        <w:tabs>
          <w:tab w:leader="none" w:pos="6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Survey suppliers of products that the Company identified that had the potential to contain conflict minerals;</w:t>
      </w:r>
    </w:p>
    <w:p>
      <w:pPr>
        <w:spacing w:after="0" w:line="53" w:lineRule="exact"/>
        <w:rPr>
          <w:rFonts w:ascii="Times New Roman" w:cs="Times New Roman" w:eastAsia="Times New Roman" w:hAnsi="Times New Roman"/>
          <w:sz w:val="20"/>
          <w:szCs w:val="20"/>
          <w:color w:val="auto"/>
        </w:rPr>
      </w:pPr>
    </w:p>
    <w:p>
      <w:pPr>
        <w:ind w:left="640" w:hanging="243"/>
        <w:spacing w:after="0" w:line="288" w:lineRule="auto"/>
        <w:tabs>
          <w:tab w:leader="none" w:pos="6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internally-approved criteria to identify errors, omissions, and missed expectations on supplier Conflict Minerals Reporting Template submissions;</w:t>
      </w:r>
    </w:p>
    <w:p>
      <w:pPr>
        <w:spacing w:after="0" w:line="1" w:lineRule="exact"/>
        <w:rPr>
          <w:rFonts w:ascii="Times New Roman" w:cs="Times New Roman" w:eastAsia="Times New Roman" w:hAnsi="Times New Roman"/>
          <w:sz w:val="20"/>
          <w:szCs w:val="20"/>
          <w:color w:val="auto"/>
        </w:rPr>
      </w:pPr>
    </w:p>
    <w:p>
      <w:pPr>
        <w:jc w:val="both"/>
        <w:ind w:left="640" w:hanging="243"/>
        <w:spacing w:after="0" w:line="286" w:lineRule="auto"/>
        <w:tabs>
          <w:tab w:leader="none" w:pos="6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additional procedures, including e-mail communication and personal contact with suppliers which did not respond to outreach and suppliers with high-risk smelters in their supply chains; while we recognize that we will not receive submissions from every supplier, our goal remains to increase the response rate received over time;</w:t>
      </w:r>
    </w:p>
    <w:p>
      <w:pPr>
        <w:spacing w:after="0" w:line="1" w:lineRule="exact"/>
        <w:rPr>
          <w:rFonts w:ascii="Times New Roman" w:cs="Times New Roman" w:eastAsia="Times New Roman" w:hAnsi="Times New Roman"/>
          <w:sz w:val="20"/>
          <w:szCs w:val="20"/>
          <w:color w:val="auto"/>
        </w:rPr>
      </w:pPr>
    </w:p>
    <w:p>
      <w:pPr>
        <w:ind w:left="640" w:right="20" w:hanging="243"/>
        <w:spacing w:after="0" w:line="281" w:lineRule="auto"/>
        <w:tabs>
          <w:tab w:leader="none" w:pos="6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our supply base to perform smelter outreach to encourage participation and certification in the Conflict-Free Smelter program;</w:t>
      </w:r>
    </w:p>
    <w:p>
      <w:pPr>
        <w:spacing w:after="0" w:line="1" w:lineRule="exact"/>
        <w:rPr>
          <w:rFonts w:ascii="Times New Roman" w:cs="Times New Roman" w:eastAsia="Times New Roman" w:hAnsi="Times New Roman"/>
          <w:sz w:val="20"/>
          <w:szCs w:val="20"/>
          <w:color w:val="auto"/>
        </w:rPr>
      </w:pPr>
    </w:p>
    <w:p>
      <w:pPr>
        <w:ind w:left="620" w:hanging="223"/>
        <w:spacing w:after="0"/>
        <w:tabs>
          <w:tab w:leader="none" w:pos="6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 smelter information provided by the supply chain.</w:t>
      </w:r>
    </w:p>
    <w:p>
      <w:pPr>
        <w:spacing w:after="0" w:line="297" w:lineRule="exact"/>
        <w:rPr>
          <w:sz w:val="20"/>
          <w:szCs w:val="20"/>
          <w:color w:val="auto"/>
        </w:rPr>
      </w:pPr>
    </w:p>
    <w:p>
      <w:pPr>
        <w:ind w:left="160" w:right="20"/>
        <w:spacing w:after="0" w:line="288" w:lineRule="auto"/>
        <w:rPr>
          <w:sz w:val="20"/>
          <w:szCs w:val="20"/>
          <w:color w:val="auto"/>
        </w:rPr>
      </w:pPr>
      <w:r>
        <w:rPr>
          <w:rFonts w:ascii="Times New Roman" w:cs="Times New Roman" w:eastAsia="Times New Roman" w:hAnsi="Times New Roman"/>
          <w:sz w:val="20"/>
          <w:szCs w:val="20"/>
          <w:color w:val="auto"/>
        </w:rPr>
        <w:t>3 Design and implement a strategy to respond to identified risks. The Company did this either independently or by engaging a third party service company by:</w:t>
      </w:r>
    </w:p>
    <w:p>
      <w:pPr>
        <w:spacing w:after="0" w:line="2" w:lineRule="exact"/>
        <w:rPr>
          <w:sz w:val="20"/>
          <w:szCs w:val="20"/>
          <w:color w:val="auto"/>
        </w:rPr>
      </w:pPr>
    </w:p>
    <w:p>
      <w:pPr>
        <w:ind w:left="620" w:hanging="223"/>
        <w:spacing w:after="0"/>
        <w:tabs>
          <w:tab w:leader="none" w:pos="6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Reporting to senior management on (a) suppliers’ responses to the Company’s inquiries, and (b) supply chain risk;</w:t>
      </w:r>
    </w:p>
    <w:p>
      <w:pPr>
        <w:spacing w:after="0" w:line="40" w:lineRule="exact"/>
        <w:rPr>
          <w:rFonts w:ascii="Times New Roman" w:cs="Times New Roman" w:eastAsia="Times New Roman" w:hAnsi="Times New Roman"/>
          <w:sz w:val="20"/>
          <w:szCs w:val="20"/>
          <w:color w:val="auto"/>
        </w:rPr>
      </w:pPr>
    </w:p>
    <w:p>
      <w:pPr>
        <w:ind w:left="620" w:hanging="223"/>
        <w:spacing w:after="0"/>
        <w:tabs>
          <w:tab w:leader="none" w:pos="6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an annual update to the Audit Committee of the Company’s Board of Directors;</w:t>
      </w:r>
    </w:p>
    <w:p>
      <w:pPr>
        <w:spacing w:after="0" w:line="40" w:lineRule="exact"/>
        <w:rPr>
          <w:rFonts w:ascii="Times New Roman" w:cs="Times New Roman" w:eastAsia="Times New Roman" w:hAnsi="Times New Roman"/>
          <w:sz w:val="20"/>
          <w:szCs w:val="20"/>
          <w:color w:val="auto"/>
        </w:rPr>
      </w:pPr>
    </w:p>
    <w:p>
      <w:pPr>
        <w:ind w:left="620" w:hanging="223"/>
        <w:spacing w:after="0"/>
        <w:tabs>
          <w:tab w:leader="none" w:pos="6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a third-party service provider to follow up and inform suppliers of improvements to be made in conflict minerals</w:t>
      </w:r>
    </w:p>
    <w:p>
      <w:pPr>
        <w:spacing w:after="0" w:line="53" w:lineRule="exact"/>
        <w:rPr>
          <w:rFonts w:ascii="Times New Roman" w:cs="Times New Roman" w:eastAsia="Times New Roman" w:hAnsi="Times New Roman"/>
          <w:sz w:val="20"/>
          <w:szCs w:val="20"/>
          <w:color w:val="auto"/>
        </w:rPr>
      </w:pPr>
    </w:p>
    <w:p>
      <w:pPr>
        <w:ind w:left="640" w:right="20"/>
        <w:spacing w:after="0" w:line="28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submissions, including providing information on smelter certification status and requesting direct smelter outreach for reported alleged smelters not participating in a certification program;</w:t>
      </w:r>
    </w:p>
    <w:p>
      <w:pPr>
        <w:spacing w:after="0" w:line="1" w:lineRule="exact"/>
        <w:rPr>
          <w:rFonts w:ascii="Times New Roman" w:cs="Times New Roman" w:eastAsia="Times New Roman" w:hAnsi="Times New Roman"/>
          <w:sz w:val="20"/>
          <w:szCs w:val="20"/>
          <w:color w:val="auto"/>
        </w:rPr>
      </w:pPr>
    </w:p>
    <w:p>
      <w:pPr>
        <w:ind w:left="620" w:hanging="223"/>
        <w:spacing w:after="0"/>
        <w:tabs>
          <w:tab w:leader="none" w:pos="6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Maintaining a Conflict Minerals Policy, and making the policy available to our suppliers, which addresses that the Company has</w:t>
      </w:r>
    </w:p>
    <w:p>
      <w:pPr>
        <w:spacing w:after="0" w:line="65" w:lineRule="exact"/>
        <w:rPr>
          <w:rFonts w:ascii="Times New Roman" w:cs="Times New Roman" w:eastAsia="Times New Roman" w:hAnsi="Times New Roman"/>
          <w:sz w:val="19"/>
          <w:szCs w:val="19"/>
          <w:color w:val="auto"/>
        </w:rPr>
      </w:pPr>
    </w:p>
    <w:p>
      <w:pPr>
        <w:ind w:left="640"/>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right to limit purchases from the supplier to the extent practicable or seek alternative suppliers where commercially feasible should a supplier be unwilling to adhere to the Company’s Conflict Minerals Policy.</w:t>
      </w:r>
    </w:p>
    <w:p>
      <w:pPr>
        <w:spacing w:after="0" w:line="200" w:lineRule="exact"/>
        <w:rPr>
          <w:sz w:val="20"/>
          <w:szCs w:val="20"/>
          <w:color w:val="auto"/>
        </w:rPr>
      </w:pPr>
    </w:p>
    <w:p>
      <w:pPr>
        <w:ind w:left="320" w:hanging="161"/>
        <w:spacing w:after="0" w:line="281" w:lineRule="auto"/>
        <w:rPr>
          <w:sz w:val="20"/>
          <w:szCs w:val="20"/>
          <w:color w:val="auto"/>
        </w:rPr>
      </w:pPr>
      <w:r>
        <w:rPr>
          <w:rFonts w:ascii="Times New Roman" w:cs="Times New Roman" w:eastAsia="Times New Roman" w:hAnsi="Times New Roman"/>
          <w:sz w:val="20"/>
          <w:szCs w:val="20"/>
          <w:color w:val="auto"/>
        </w:rPr>
        <w:t>4 Carry out independent third-party audit of supply chain due diligence at identified points in the supply chain. The Company did this by:</w:t>
      </w:r>
    </w:p>
    <w:p>
      <w:pPr>
        <w:spacing w:after="0" w:line="1" w:lineRule="exact"/>
        <w:rPr>
          <w:sz w:val="20"/>
          <w:szCs w:val="20"/>
          <w:color w:val="auto"/>
        </w:rPr>
      </w:pPr>
    </w:p>
    <w:p>
      <w:pPr>
        <w:ind w:left="620" w:hanging="223"/>
        <w:spacing w:after="0"/>
        <w:tabs>
          <w:tab w:leader="none" w:pos="6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Utilizing the Responsible Minerals Assurance Process (“RMAP”), developed by the RMI, which uses an independent third-party</w:t>
      </w:r>
    </w:p>
    <w:p>
      <w:pPr>
        <w:spacing w:after="0" w:line="65" w:lineRule="exact"/>
        <w:rPr>
          <w:rFonts w:ascii="Times New Roman" w:cs="Times New Roman" w:eastAsia="Times New Roman" w:hAnsi="Times New Roman"/>
          <w:sz w:val="19"/>
          <w:szCs w:val="19"/>
          <w:color w:val="auto"/>
        </w:rPr>
      </w:pPr>
    </w:p>
    <w:p>
      <w:pPr>
        <w:ind w:left="640"/>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audit to identify smelters and refiners that have management systems and sourcing practices in place to conform with RMAP protocols and global standards.</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5 Report on supply chain due diligence. The Company did this by:</w:t>
      </w:r>
    </w:p>
    <w:p>
      <w:pPr>
        <w:spacing w:after="0" w:line="54" w:lineRule="exact"/>
        <w:rPr>
          <w:sz w:val="20"/>
          <w:szCs w:val="20"/>
          <w:color w:val="auto"/>
        </w:rPr>
      </w:pPr>
    </w:p>
    <w:p>
      <w:pPr>
        <w:ind w:left="640" w:hanging="243"/>
        <w:spacing w:after="0" w:line="311" w:lineRule="auto"/>
        <w:tabs>
          <w:tab w:leader="none" w:pos="62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Filing an annual Form SD and Conflict Minerals Report with the Securities and Exchange Commission and making that filing available on the Company’s website.</w:t>
      </w:r>
    </w:p>
    <w:p>
      <w:pPr>
        <w:sectPr>
          <w:pgSz w:w="11900" w:h="16838" w:orient="portrait"/>
          <w:cols w:equalWidth="0" w:num="1">
            <w:col w:w="10900"/>
          </w:cols>
          <w:pgMar w:left="660" w:top="79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III. Due Diligence Program Results</w:t>
      </w:r>
    </w:p>
    <w:p>
      <w:pPr>
        <w:spacing w:after="0" w:line="287" w:lineRule="exact"/>
        <w:rPr>
          <w:sz w:val="20"/>
          <w:szCs w:val="20"/>
          <w:color w:val="auto"/>
        </w:rPr>
      </w:pPr>
    </w:p>
    <w:p>
      <w:pPr>
        <w:jc w:val="both"/>
        <w:ind w:firstLine="201"/>
        <w:spacing w:after="0" w:line="303" w:lineRule="auto"/>
        <w:rPr>
          <w:sz w:val="20"/>
          <w:szCs w:val="20"/>
          <w:color w:val="auto"/>
        </w:rPr>
      </w:pPr>
      <w:r>
        <w:rPr>
          <w:rFonts w:ascii="Times New Roman" w:cs="Times New Roman" w:eastAsia="Times New Roman" w:hAnsi="Times New Roman"/>
          <w:sz w:val="20"/>
          <w:szCs w:val="20"/>
          <w:color w:val="auto"/>
        </w:rPr>
        <w:t>Attached as Schedule A is the list of facilities that, based on the due diligence process described above, were reported as being included in the Company’s suppliers’ supply chains during the Reporting Period. The majority of supplier responses provided data at the supplier company level, rather than specifying the smelters or refiners used in components supplied specifically to the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IV. Risk Mitigation – Future Due Diligence Measures</w:t>
      </w:r>
    </w:p>
    <w:p>
      <w:pPr>
        <w:spacing w:after="0" w:line="260" w:lineRule="exact"/>
        <w:rPr>
          <w:sz w:val="20"/>
          <w:szCs w:val="20"/>
          <w:color w:val="auto"/>
        </w:rPr>
      </w:pPr>
    </w:p>
    <w:p>
      <w:pPr>
        <w:ind w:right="20" w:firstLine="198"/>
        <w:spacing w:after="0" w:line="256" w:lineRule="auto"/>
        <w:rPr>
          <w:sz w:val="20"/>
          <w:szCs w:val="20"/>
          <w:color w:val="auto"/>
        </w:rPr>
      </w:pPr>
      <w:r>
        <w:rPr>
          <w:rFonts w:ascii="Times New Roman" w:cs="Times New Roman" w:eastAsia="Times New Roman" w:hAnsi="Times New Roman"/>
          <w:sz w:val="19"/>
          <w:szCs w:val="19"/>
          <w:color w:val="auto"/>
        </w:rPr>
        <w:t>In future years the Company expects to continue to, directly or through a service provider, make inquiries to its suppliers, with its objective being to increase the response rate and completeness of responses each year. The Company conducts periodic reviews of strategic suppliers, and as part of those reviews has included questions relating to conflict minerals sourcing. We maintain active participation in RMI and intend to continue our membership in order to collaborate with fellow filers and confirm best practices in the conflict minerals space.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 Product Description</w:t>
      </w:r>
    </w:p>
    <w:p>
      <w:pPr>
        <w:spacing w:after="0" w:line="287" w:lineRule="exact"/>
        <w:rPr>
          <w:sz w:val="20"/>
          <w:szCs w:val="20"/>
          <w:color w:val="auto"/>
        </w:rPr>
      </w:pPr>
    </w:p>
    <w:p>
      <w:pPr>
        <w:ind w:firstLine="361"/>
        <w:spacing w:after="0" w:line="311" w:lineRule="auto"/>
        <w:rPr>
          <w:sz w:val="20"/>
          <w:szCs w:val="20"/>
          <w:color w:val="auto"/>
        </w:rPr>
      </w:pPr>
      <w:r>
        <w:rPr>
          <w:rFonts w:ascii="Times New Roman" w:cs="Times New Roman" w:eastAsia="Times New Roman" w:hAnsi="Times New Roman"/>
          <w:sz w:val="20"/>
          <w:szCs w:val="20"/>
          <w:color w:val="auto"/>
        </w:rPr>
        <w:t>The products subject to the disclosure are tractors, combines, hay tools, sprayers, forage equipment, planters, seeding and tillage implements, allied technical equipment, and replacement parts.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VI. Independent Private Sector Audit</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Not required for calendar year 2025.</w:t>
      </w:r>
    </w:p>
    <w:p>
      <w:pPr>
        <w:sectPr>
          <w:pgSz w:w="11900" w:h="16838" w:orient="portrait"/>
          <w:cols w:equalWidth="0" w:num="1">
            <w:col w:w="11240"/>
          </w:cols>
          <w:pgMar w:left="320" w:top="1031"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62"/>
        </w:trPr>
        <w:tc>
          <w:tcPr>
            <w:tcW w:w="1120" w:type="dxa"/>
            <w:vAlign w:val="bottom"/>
          </w:tcPr>
          <w:p>
            <w:pPr>
              <w:spacing w:after="0"/>
              <w:rPr>
                <w:sz w:val="22"/>
                <w:szCs w:val="22"/>
                <w:color w:val="auto"/>
              </w:rPr>
            </w:pPr>
          </w:p>
        </w:tc>
        <w:tc>
          <w:tcPr>
            <w:tcW w:w="7200" w:type="dxa"/>
            <w:vAlign w:val="bottom"/>
          </w:tcPr>
          <w:p>
            <w:pPr>
              <w:spacing w:after="0"/>
              <w:rPr>
                <w:sz w:val="22"/>
                <w:szCs w:val="22"/>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20"/>
                <w:szCs w:val="20"/>
                <w:b w:val="1"/>
                <w:bCs w:val="1"/>
                <w:color w:val="auto"/>
                <w:w w:val="97"/>
              </w:rPr>
              <w:t>Schedule A</w:t>
            </w:r>
          </w:p>
        </w:tc>
      </w:tr>
      <w:tr>
        <w:trPr>
          <w:trHeight w:val="34"/>
        </w:trPr>
        <w:tc>
          <w:tcPr>
            <w:tcW w:w="1120" w:type="dxa"/>
            <w:vAlign w:val="bottom"/>
            <w:tcBorders>
              <w:bottom w:val="single" w:sz="8" w:color="auto"/>
            </w:tcBorders>
          </w:tcPr>
          <w:p>
            <w:pPr>
              <w:spacing w:after="0"/>
              <w:rPr>
                <w:sz w:val="3"/>
                <w:szCs w:val="3"/>
                <w:color w:val="auto"/>
              </w:rPr>
            </w:pPr>
          </w:p>
        </w:tc>
        <w:tc>
          <w:tcPr>
            <w:tcW w:w="720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r>
      <w:tr>
        <w:trPr>
          <w:trHeight w:val="283"/>
        </w:trPr>
        <w:tc>
          <w:tcPr>
            <w:tcW w:w="1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Metal</w:t>
            </w:r>
          </w:p>
        </w:tc>
        <w:tc>
          <w:tcPr>
            <w:tcW w:w="7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Smelter Name</w:t>
            </w:r>
          </w:p>
        </w:tc>
        <w:tc>
          <w:tcPr>
            <w:tcW w:w="29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Smelter Facility Location</w:t>
            </w:r>
          </w:p>
        </w:tc>
      </w:tr>
      <w:tr>
        <w:trPr>
          <w:trHeight w:val="34"/>
        </w:trPr>
        <w:tc>
          <w:tcPr>
            <w:tcW w:w="1120" w:type="dxa"/>
            <w:vAlign w:val="bottom"/>
            <w:tcBorders>
              <w:left w:val="single" w:sz="8" w:color="auto"/>
              <w:bottom w:val="single" w:sz="8" w:color="auto"/>
              <w:right w:val="single" w:sz="8" w:color="auto"/>
            </w:tcBorders>
          </w:tcPr>
          <w:p>
            <w:pPr>
              <w:spacing w:after="0"/>
              <w:rPr>
                <w:sz w:val="3"/>
                <w:szCs w:val="3"/>
                <w:color w:val="auto"/>
              </w:rPr>
            </w:pPr>
          </w:p>
        </w:tc>
        <w:tc>
          <w:tcPr>
            <w:tcW w:w="7200" w:type="dxa"/>
            <w:vAlign w:val="bottom"/>
            <w:tcBorders>
              <w:bottom w:val="single" w:sz="8" w:color="auto"/>
              <w:right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A.L.M.T. Corp.</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Advanced Chemical Company</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Aida Chemical Industries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Agosi AG</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Almalyk Mining and Metallurgical Complex (AMMC)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Uzbekistan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AngloGold Ashanti Corrego do Sitio Mineracao</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Argor-Heraeus S.A.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Asahi Pretec Corp.</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Asaka Riken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Kennametal Huntsville</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Aurubis AG</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Bangko Sentral ng Pilipinas (Central Bank of the Philippines)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Philippines</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Boliden Ronnskar</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Sweden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 Hafner GmbH + Co. KG</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Caridad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CCR Refinery - Glencore Canada Corporation</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Yunnan Copper Industry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Xianglu Tungsten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Chenzhou Yunxiang Mining and Metallurgy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Chimet S.p.A.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Chongyi Zhangyuan Tungsten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Chugai Mining</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Rising Rare Metals-EO Materials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Alpha Assembly Solutions Inc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Aries Kencana Sejahtera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Premium Tin Indonesia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Daye Non-Ferrous Metals Mining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DSC (Do Sung Corporation)</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Dongguan Best Alloys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Dowa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Dowa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Eco-System Recycling Co., Ltd. East Plant</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 Vinto</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Bolivia (Plurinational State Of)</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Estanho de Rondonia S.A.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F&amp;X Electro-Materials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Fenix Metals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Poland</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Non-Ferrous Metal Processing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bl>
    <w:p>
      <w:pPr>
        <w:sectPr>
          <w:pgSz w:w="11900" w:h="16838" w:orient="portrait"/>
          <w:cols w:equalWidth="0" w:num="1">
            <w:col w:w="11260"/>
          </w:cols>
          <w:pgMar w:left="320" w:top="788" w:right="31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1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Tungsten &amp; Powders LLC</w:t>
            </w:r>
          </w:p>
        </w:tc>
        <w:tc>
          <w:tcPr>
            <w:tcW w:w="29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XIMEI RESOURCES (GUANGDONG) LIMITED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Hangzhou Fuchunjiang Smelting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LT Metal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Heimerle + Meule GmbH</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Heraeus Metals Hong Kong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Heraeus Germany GmbH Co. KG</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Chenzhou Mining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Guiyang yinxing Nonferrous Smelting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Inner Mongolia Qiankun Gold and Silver Refinery Share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Ishifuku Metal Industry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Istanbul Gold Refinery</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Turkey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 Mint</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 New Metals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Copper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JiuJiang JinXin Nonferrous Metals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Jiujiang Tanbre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Asahi Refining USA Inc.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Asahi Refining Canada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JX Nippon Mining &amp; Metals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Kazakhmys Smelting LLC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Kazakhstan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Kazzinc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Kazakhstan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Kennametal Fallon</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Kennecott Utah Copper LLC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Kojima Chemicals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Lingbao Gold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 Tin Group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AMG Brasil</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LS MnM Inc.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Luoyang Zijin Yinhui Gold Refinery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Materion</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Matsuda Sangyo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Metallic Resources, Inc.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(Suzhou)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(Hong Kong)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(Singapore) Pte.,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S.A.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USA Refining Corporation</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Metalurgica Met-Mex Penoles S.A. De C.V.</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Metallurgical Products India Pvt.,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bl>
    <w:p>
      <w:pPr>
        <w:sectPr>
          <w:pgSz w:w="11900" w:h="16838" w:orient="portrait"/>
          <w:cols w:equalWidth="0" w:num="1">
            <w:col w:w="11260"/>
          </w:cols>
          <w:pgMar w:left="320" w:top="794" w:right="3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1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Mineracao Taboca S.A.</w:t>
            </w:r>
          </w:p>
        </w:tc>
        <w:tc>
          <w:tcPr>
            <w:tcW w:w="29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Mineracao Taboca S.A.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Minsur</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Peru</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Mitsubishi Materials Corporation</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Mitsubishi Materials Corporation</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Mitsui Mining and Smelting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Mitsui Mining and Smelting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NPM Silmet AS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Estonia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Nadir Metal Rafineri San. Ve Tic. A.S.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Turkey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Navoi Mining and Metallurgical Combinat</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Uzbekistan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Nihon Material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Ningxia Orient Tantalum Industry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O.M. Manufacturing (Thailand)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Thailand</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Ohura Precious Metal Industry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Operaciones Metalurgicas S.A.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Bolivia (Plurinational State Of)</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MKS PAMP SA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Penglai Penggang Gold Industry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Aneka Tambang (Persero) Tbk</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Mitra Stania Prima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Prima Timah Utama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Timah Tbk Kundur</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Timah Tbk Mentok</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PX Precinox S.A.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Rand Refinery (Pty)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Africa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Yanling Jincheng Tantalum &amp; Niobium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Royal Canadian Mint</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Rui Da Hung</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 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SEMPSA Joyeria Plateria S.A.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Shandong Tiancheng Biological Gold Industrial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Shandong Zhaojin Gold &amp; Silver Refinery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Sichuan Tianze Precious Metals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Solar Applied Materials Technology Corp.</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 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Sumitomo Metal Mining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Super Dragon Technology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 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Taki Chemical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Tanaka Kikinzoku Kogyo K.K.</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Telex Metals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Thaisarco</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Thailand</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Great Wall Precious Metals Co., Ltd. of CBPM</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bl>
    <w:p>
      <w:pPr>
        <w:sectPr>
          <w:pgSz w:w="11900" w:h="16838" w:orient="portrait"/>
          <w:cols w:equalWidth="0" w:num="1">
            <w:col w:w="11260"/>
          </w:cols>
          <w:pgMar w:left="320" w:top="794" w:right="3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1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Shandong Gold Smelting Co., Ltd.</w:t>
            </w:r>
          </w:p>
        </w:tc>
        <w:tc>
          <w:tcPr>
            <w:tcW w:w="29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Tokuriki Honten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Tongling Nonferrous Metals Group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Ulba Metallurgical Plant JSC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Kazakhstan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Umicore S.A. Business Unit Precious Metals Refining</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Precious Metal Refining, Inc.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Valcambi S.A.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VQB Mineral and Trading Group JSC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 Nam</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Western Australian Mint (T/a The Perth Mint)</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White Solder Metalurgia e Mineracao Ltda.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Wolfram Bergbau und Hutten AG</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Xiamen Tungsten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Yamakin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Yokohama Metal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Tin Smelting Branch of Yunnan Tin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Zhongyuan Gold Smelter of Zhongjin Gold Corporation</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Gold Refinery of Zijin Mining Group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Morris and Watson</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SAFINA A.S.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Czechia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Ganzhou Jiangwu Ferrotungsten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Yaosheng Tungsten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Xinsheng Tungsten Industry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Malipo Haiyu Tungsten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Xiamen Tungsten (H.C.)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Gan Bei Tungsten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Magnu's Minerais Metais e Ligas Ltda.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Hengyang King Xing Lifeng New Materials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Ganzhou Seadragon W &amp; Mo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Asia Tungsten Products Vietnam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 Nam</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ATD Makmur Mandiri Jaya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 Block Metals, LLC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FIR Metals &amp; Resource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Jiujiang Zhongao Tantalum &amp; Niobium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XinXing HaoRong Electronic Material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MMTC-PAMP India Pvt.,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KGHM Polska Miedz Spolka Akcyjna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Poland</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Dinghai Tantalum &amp; Niobium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O.M. Manufacturing Philippines, Inc.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Philippines</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Shandong Humon Smelting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Shenzhen Zhonghenglong Real Industry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bl>
    <w:p>
      <w:pPr>
        <w:sectPr>
          <w:pgSz w:w="11900" w:h="16838" w:orient="portrait"/>
          <w:cols w:equalWidth="0" w:num="1">
            <w:col w:w="11260"/>
          </w:cols>
          <w:pgMar w:left="320" w:top="794" w:right="3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1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KEMET de Mexico</w:t>
            </w:r>
          </w:p>
        </w:tc>
        <w:tc>
          <w:tcPr>
            <w:tcW w:w="29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H.C. Starck Tungsten GmbH</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Smelting GmbH &amp; Co. KG</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Masan High-Tech Materials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 Nam</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Thailand</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GmbH</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Materion Newton Inc.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Japan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Smelting GmbH &amp; Co. KG</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Jiangwu H.C. Starck Tungsten Products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Advanced Metals Boyertown</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Advanced Metals Aizu</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International Precious Metal Refiners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Arab Emirates</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CV Ayi Jaya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Nghe Tinh Non-Ferrous Metals Joint Stock Company</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 Nam</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T.C.A S.p.A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REMONDIS PMR B.V.</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Fujairah Gold FZC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Arab Emirates</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Shirpur Gold Refinery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Niagara Refining LLC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Rajehan Ariq</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Zinc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TOO Tau-Ken-Altyn</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Kazakhstan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 Molybdenum Tungsten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Cipta Persada Mulia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 Vinh Joint Stock Mineral Processing Company</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 Nam</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Resind Industria e Comercio Ltda.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Resind Industria e Comercio Ltda.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Abington Reldan Metals, LLC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Shenzhen CuiLu Gold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Super Ligas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Albino Mountinho Lda.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Portugal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Italpreziosi</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Aurubis Beerse</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Aurubis Berango</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Bangka Prima Tin</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WIELAND Edelmetalle GmbH</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Ogussa Osterreichische Gold- und Silber-Scheideanstalt GmbH</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Tuohong New Raw Material</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bl>
    <w:p>
      <w:pPr>
        <w:sectPr>
          <w:pgSz w:w="11900" w:h="16838" w:orient="portrait"/>
          <w:cols w:equalWidth="0" w:num="1">
            <w:col w:w="11260"/>
          </w:cols>
          <w:pgMar w:left="320" w:top="795" w:right="3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1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Bangalore Refinery</w:t>
            </w:r>
          </w:p>
        </w:tc>
        <w:tc>
          <w:tcPr>
            <w:tcW w:w="29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Degussa Sonne / Mond Goldhandel GmbH</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JALAN &amp; Company</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SungEel HiMetal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Planta Recuperadora de Metales SpA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Chile</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ABC Refinery Pty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Hanhe Non-Ferrous Metal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State Research Institute Center for Physical Sciences and Technology</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Lithuania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Gold Coast Refinery</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Ghana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NH Recytech Company</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Chifeng Dajingzi Tin Industry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QG Refining, LLC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Tin Technology &amp; Refining</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Dijllah Gold Refinery FZC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Arab Emirates</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CGR Metalloys Pvt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Sovereign Metals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Luna Smelter,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Rwanda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Yunnan Yunfan Non-ferrous Metals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Lianyou Metals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 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City Fuxiang Industry and Trade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Hubei Green Tungsten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Eco-System Recycling Co., Ltd. North Plant</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Eco-System Recycling Co., Ltd. West Plant</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Mitra Sukses Globalindo</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Kundan Care Products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Cronimet Brasil Ltda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Emerald Jewel Industry India Limited (Unit 1)</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Emerald Jewel Industry India Limited (Unit 2)</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Emerald Jewel Industry India Limited (Unit 3)</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Emerald Jewel Industry India Limited (Unit 4)</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 Rasmussen</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Norway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CRM Synergies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MD Overseas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Metallix Refining Inc.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 Concentrators SA (Pty)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Africa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Fabrica Auricchio Industria e Comercio Ltda.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Fujian Xinlu Tungsten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Gold by Gold Colombia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Colombia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New Nanshan Technology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Artha Cipta Langgeng</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bl>
    <w:p>
      <w:pPr>
        <w:sectPr>
          <w:pgSz w:w="11900" w:h="16838" w:orient="portrait"/>
          <w:cols w:equalWidth="0" w:num="1">
            <w:col w:w="11260"/>
          </w:cols>
          <w:pgMar w:left="320" w:top="795" w:right="3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1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Torecom</w:t>
            </w:r>
          </w:p>
        </w:tc>
        <w:tc>
          <w:tcPr>
            <w:tcW w:w="29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Yunnan Chengfeng Non-ferrous Metals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Shizhuyuan Nonferrous Metals Co., Ltd. Chenzhou Tungsten Products Branch</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L'Orfebre S.A.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Andorra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CRM Fundicao De Metais E Comercio De Equipamentos Eletronicos Do Brasil Ltda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Putera Sarana Shakti (PT PSS)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Tungsten Vietnam Joint Stock Company</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 Nam</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Coimpa Industrial LTDA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PowerX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Rwanda</w:t>
            </w:r>
          </w:p>
        </w:tc>
      </w:tr>
      <w:tr>
        <w:trPr>
          <w:trHeight w:val="187"/>
        </w:trPr>
        <w:tc>
          <w:tcPr>
            <w:tcW w:w="1120" w:type="dxa"/>
            <w:vAlign w:val="bottom"/>
            <w:tcBorders>
              <w:left w:val="single" w:sz="8" w:color="auto"/>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Mining Minerals Resources SARL</w:t>
            </w:r>
          </w:p>
        </w:tc>
        <w:tc>
          <w:tcPr>
            <w:tcW w:w="294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Congo, Democratic Republic Of</w:t>
            </w:r>
          </w:p>
        </w:tc>
      </w:tr>
      <w:tr>
        <w:trPr>
          <w:trHeight w:val="252"/>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7200" w:type="dxa"/>
            <w:vAlign w:val="bottom"/>
            <w:tcBorders>
              <w:bottom w:val="single" w:sz="8" w:color="auto"/>
              <w:right w:val="single" w:sz="8" w:color="auto"/>
            </w:tcBorders>
          </w:tcPr>
          <w:p>
            <w:pPr>
              <w:spacing w:after="0"/>
              <w:rPr>
                <w:sz w:val="21"/>
                <w:szCs w:val="21"/>
                <w:color w:val="auto"/>
              </w:rPr>
            </w:pP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Cendres + Metaux S.A.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JSC Novosibirsk Refinery</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Zili Mining And Metallurgy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Jintai New Material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HwaSeong CJ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JSC Ekaterinburg Non-Ferrous Metal Processing Plant</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JSC Uralelectromed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Kai Meng Industry and Trade LLC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Kyrgyzaltyn JSC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Kyrgyzstan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Moscow Special Alloys Processing Plant</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Novosibirsk Tin Combine</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OJSC "The Gulidov Krasnoyarsk Non-Ferrous Metals Plant" (OJSC Krastsvetmet)</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Prioksky Plant of Non-Ferrous Metals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Sabin Metal Corp.</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Samduck Precious Metals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Samwon Metals Corp.</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SOE Shyolkovsky Factory of Secondary Precious Metals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Solikamsk Magnesium Works OAO</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Yunxin Nonferrous Electrolysis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Minmetals Gao'an Non-ferrous Metals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Umicore Precious Metals Thailand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Thailand</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Melt Metais e Ligas S.A.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Fidelity Printers and Refiners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Zimbabwe</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Singway Technology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 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 Etihad Gold Refinery DMCC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Arab Emirates</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Emirates Gold DMCC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Arab Emirates</w:t>
            </w:r>
          </w:p>
        </w:tc>
      </w:tr>
      <w:tr>
        <w:trPr>
          <w:trHeight w:val="187"/>
        </w:trPr>
        <w:tc>
          <w:tcPr>
            <w:tcW w:w="1120" w:type="dxa"/>
            <w:vAlign w:val="bottom"/>
            <w:tcBorders>
              <w:left w:val="single" w:sz="8" w:color="auto"/>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Electro-Mechanical Facility of the Cao Bang Minerals &amp; Metallurgy Joint Stock</w:t>
            </w:r>
          </w:p>
        </w:tc>
        <w:tc>
          <w:tcPr>
            <w:tcW w:w="294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Viet Nam</w:t>
            </w:r>
          </w:p>
        </w:tc>
      </w:tr>
      <w:tr>
        <w:trPr>
          <w:trHeight w:val="252"/>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Company</w:t>
            </w:r>
          </w:p>
        </w:tc>
        <w:tc>
          <w:tcPr>
            <w:tcW w:w="2940" w:type="dxa"/>
            <w:vAlign w:val="bottom"/>
            <w:tcBorders>
              <w:bottom w:val="single" w:sz="8" w:color="auto"/>
              <w:right w:val="single" w:sz="8" w:color="auto"/>
            </w:tcBorders>
          </w:tcPr>
          <w:p>
            <w:pPr>
              <w:spacing w:after="0"/>
              <w:rPr>
                <w:sz w:val="21"/>
                <w:szCs w:val="21"/>
                <w:color w:val="auto"/>
              </w:rPr>
            </w:pP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Marsam Metals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Hydrometallurg, JSC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bl>
    <w:p>
      <w:pPr>
        <w:sectPr>
          <w:pgSz w:w="11900" w:h="16838" w:orient="portrait"/>
          <w:cols w:equalWidth="0" w:num="1">
            <w:col w:w="11260"/>
          </w:cols>
          <w:pgMar w:left="320" w:top="795" w:right="3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1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Unecha Refractory metals plant</w:t>
            </w:r>
          </w:p>
        </w:tc>
        <w:tc>
          <w:tcPr>
            <w:tcW w:w="29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SAAMP</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8853 S.p.A.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Moliren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 Traders and Refiners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Africa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GGC Gujrat Gold Centre Pvt.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Modeltech Sdn Bhd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Malaysia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Modeltech Sdn Bhd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Malaysia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Kyshtym Copper-Electrolytic Plant ZAO</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Pease &amp; Curren</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Safimet S.p.A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African Gold Refinery</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Uganda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Dongguan CiEXPO Environmental Engineering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Ma'anshan Weitai Tin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JSC "Kirovgrad Hard Alloys Plant"</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Precious Minerals and Smelting Limited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NPP Tyazhmetprom LLC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Albasteel Industria e Comercio de Ligas Para Fundicao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Augmont Enterprises Private Limited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Alexy Metals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OOO “Technolom” 2</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OOO “Technolom” 1</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WEEEREFINING</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YUDU ANSHENG TUNGSTEN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Dongwu Gold Group</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Sam Precious Metals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Arab Emirates</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5D Production OU</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Estonia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Nam Viet Cromit Joint Stock Company</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 Nam</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Lianyou Resources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 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Shinwon Tungsten (Fujian Shanghang)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Malaysia Smelting Corporation Berhad (Port Klang)</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Malaysia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GG Refinery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Tanzania, United Republic Of</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KENEE MINING VIETNAM COMPANY LIMITED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 Nam</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NOBLE METAL SERVICES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187"/>
        </w:trPr>
        <w:tc>
          <w:tcPr>
            <w:tcW w:w="1120" w:type="dxa"/>
            <w:vAlign w:val="bottom"/>
            <w:tcBorders>
              <w:left w:val="single" w:sz="8" w:color="auto"/>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Takehara PVD Materials Plant / PVD Materials Division of MITSUI MINING &amp;</w:t>
            </w:r>
          </w:p>
        </w:tc>
        <w:tc>
          <w:tcPr>
            <w:tcW w:w="294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Japan</w:t>
            </w:r>
          </w:p>
        </w:tc>
      </w:tr>
      <w:tr>
        <w:trPr>
          <w:trHeight w:val="252"/>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SMELTING CO., LTD.</w:t>
            </w:r>
          </w:p>
        </w:tc>
        <w:tc>
          <w:tcPr>
            <w:tcW w:w="2940" w:type="dxa"/>
            <w:vAlign w:val="bottom"/>
            <w:tcBorders>
              <w:bottom w:val="single" w:sz="8" w:color="auto"/>
              <w:right w:val="single" w:sz="8" w:color="auto"/>
            </w:tcBorders>
          </w:tcPr>
          <w:p>
            <w:pPr>
              <w:spacing w:after="0"/>
              <w:rPr>
                <w:sz w:val="21"/>
                <w:szCs w:val="21"/>
                <w:color w:val="auto"/>
              </w:rPr>
            </w:pPr>
          </w:p>
        </w:tc>
      </w:tr>
      <w:tr>
        <w:trPr>
          <w:trHeight w:val="187"/>
        </w:trPr>
        <w:tc>
          <w:tcPr>
            <w:tcW w:w="1120" w:type="dxa"/>
            <w:vAlign w:val="bottom"/>
            <w:tcBorders>
              <w:left w:val="single" w:sz="8" w:color="auto"/>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SHENZHEN JINJUNWEI RESOURCE COMPREHENSIVE DEVELOPMENT CO.,</w:t>
            </w:r>
          </w:p>
        </w:tc>
        <w:tc>
          <w:tcPr>
            <w:tcW w:w="294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China</w:t>
            </w:r>
          </w:p>
        </w:tc>
      </w:tr>
      <w:tr>
        <w:trPr>
          <w:trHeight w:val="252"/>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LTD.</w:t>
            </w:r>
          </w:p>
        </w:tc>
        <w:tc>
          <w:tcPr>
            <w:tcW w:w="2940" w:type="dxa"/>
            <w:vAlign w:val="bottom"/>
            <w:tcBorders>
              <w:bottom w:val="single" w:sz="8" w:color="auto"/>
              <w:right w:val="single" w:sz="8" w:color="auto"/>
            </w:tcBorders>
          </w:tcPr>
          <w:p>
            <w:pPr>
              <w:spacing w:after="0"/>
              <w:rPr>
                <w:sz w:val="21"/>
                <w:szCs w:val="21"/>
                <w:color w:val="auto"/>
              </w:rPr>
            </w:pP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 Carreytech Metal Corp.</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Philippines</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TITAN COMPANY LIMITED, JEWELLERY DIVISION</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RIKAYAA GREENTECH PRIVATE LIMITED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bl>
    <w:p>
      <w:pPr>
        <w:sectPr>
          <w:pgSz w:w="11900" w:h="16838" w:orient="portrait"/>
          <w:cols w:equalWidth="0" w:num="1">
            <w:col w:w="11260"/>
          </w:cols>
          <w:pgMar w:left="320" w:top="795" w:right="31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1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Attero Recycling Pvt Ltd</w:t>
            </w:r>
          </w:p>
        </w:tc>
        <w:tc>
          <w:tcPr>
            <w:tcW w:w="29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Impala Platinum - Platinum Metals Refinery (PMR)</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Africa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Woodcross Smelting Company Limited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Uganda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Advanced Metals Greenbushes Pty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Elite Industech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 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Longnan Chuangyue Environmental Protection Technology Development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 Bonway Manufacturing Industrial Corporation</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Philippines</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Sanshi Nonferrous Metals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Minera Titán del Perú SRL (MTP) - Belen Plant</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Peru</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 Kay Metal, Inc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Uzbek Refractory and Heat-Resistant Metals</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Uzbekistan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Masbro Alam Stania</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Conecsus LLC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SOLEIL METALS (Chala One Plant)</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Peru</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SOLEIL METALS (YAKARI Plant)</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Peru</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Gasabo Gold Refinery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Rwanda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Jing Yuan Tungsten Technology Co., Ltd.</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 China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S.P.T. spol.s r.o.</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Czechia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Tungamoy Metals Inc.</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Aurubis AG, Hamburg</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Atlantic Copper</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Geo Enterprise</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Georgia</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Naoshima Smelter &amp; Refinery</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7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KGHM Polska Miedz S.A. Oddzial Huta Miedzi, Glogow</w:t>
            </w:r>
          </w:p>
        </w:tc>
        <w:tc>
          <w:tcPr>
            <w:tcW w:w="2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Poland</w:t>
            </w:r>
          </w:p>
        </w:tc>
      </w:tr>
    </w:tbl>
    <w:p>
      <w:pPr>
        <w:spacing w:after="0" w:line="1" w:lineRule="exact"/>
        <w:rPr>
          <w:sz w:val="20"/>
          <w:szCs w:val="20"/>
          <w:color w:val="auto"/>
        </w:rPr>
      </w:pPr>
    </w:p>
    <w:sectPr>
      <w:pgSz w:w="11900" w:h="16838" w:orient="portrait"/>
      <w:cols w:equalWidth="0" w:num="1">
        <w:col w:w="11260"/>
      </w:cols>
      <w:pgMar w:left="320" w:top="79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2026-05-22T15:22:23Z</dcterms:created>
  <dcterms:modified xsi:type="dcterms:W3CDTF">2026-05-22T15:22:23Z</dcterms:modified>
</cp:coreProperties>
</file>